
<file path=[Content_Types].xml><?xml version="1.0" encoding="utf-8"?>
<Types xmlns="http://schemas.openxmlformats.org/package/2006/content-types">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DEBD6" w14:textId="77777777" w:rsidR="005A0F6E" w:rsidRPr="003C6FE5" w:rsidRDefault="005A0F6E" w:rsidP="000D67A7">
      <w:pPr>
        <w:pStyle w:val="Ttulo1"/>
        <w:ind w:left="708" w:hanging="708"/>
        <w:contextualSpacing/>
        <w:jc w:val="center"/>
        <w:rPr>
          <w:rFonts w:ascii="Arial" w:hAnsi="Arial" w:cs="Arial"/>
          <w:b/>
          <w:color w:val="auto"/>
          <w:sz w:val="52"/>
          <w:szCs w:val="24"/>
        </w:rPr>
      </w:pPr>
      <w:bookmarkStart w:id="0" w:name="_Toc13068672"/>
    </w:p>
    <w:p w14:paraId="3F0D2BB6" w14:textId="77777777" w:rsidR="005A0F6E" w:rsidRPr="003C6FE5" w:rsidRDefault="005A0F6E" w:rsidP="002E7D47">
      <w:pPr>
        <w:pStyle w:val="Ttulo1"/>
        <w:contextualSpacing/>
        <w:jc w:val="center"/>
        <w:rPr>
          <w:rFonts w:ascii="Arial" w:hAnsi="Arial" w:cs="Arial"/>
          <w:b/>
          <w:color w:val="auto"/>
          <w:sz w:val="52"/>
          <w:szCs w:val="24"/>
        </w:rPr>
      </w:pPr>
    </w:p>
    <w:p w14:paraId="7752BD14" w14:textId="77777777" w:rsidR="005A0F6E" w:rsidRPr="003C6FE5" w:rsidRDefault="005A0F6E" w:rsidP="002E7D47">
      <w:pPr>
        <w:pStyle w:val="Ttulo1"/>
        <w:contextualSpacing/>
        <w:jc w:val="center"/>
        <w:rPr>
          <w:rFonts w:ascii="Arial" w:hAnsi="Arial" w:cs="Arial"/>
          <w:b/>
          <w:color w:val="auto"/>
          <w:sz w:val="52"/>
          <w:szCs w:val="24"/>
        </w:rPr>
      </w:pPr>
    </w:p>
    <w:p w14:paraId="3C2CB1E9" w14:textId="5A0D861F" w:rsidR="005A0F6E" w:rsidRPr="00B92499" w:rsidRDefault="00387542" w:rsidP="002E7D47">
      <w:pPr>
        <w:pStyle w:val="Ttulo1"/>
        <w:contextualSpacing/>
        <w:jc w:val="center"/>
        <w:rPr>
          <w:rFonts w:ascii="Arial" w:hAnsi="Arial" w:cs="Arial"/>
          <w:b/>
          <w:color w:val="auto"/>
          <w:sz w:val="72"/>
          <w:szCs w:val="72"/>
        </w:rPr>
      </w:pPr>
      <w:bookmarkStart w:id="1" w:name="_Toc23252960"/>
      <w:r w:rsidRPr="00B92499">
        <w:rPr>
          <w:rFonts w:ascii="Arial" w:hAnsi="Arial" w:cs="Arial"/>
          <w:b/>
          <w:color w:val="auto"/>
          <w:sz w:val="72"/>
          <w:szCs w:val="72"/>
        </w:rPr>
        <w:t xml:space="preserve">INFORME RESPECTO DE LA </w:t>
      </w:r>
      <w:r w:rsidR="004D3279" w:rsidRPr="00B92499">
        <w:rPr>
          <w:rFonts w:ascii="Arial" w:hAnsi="Arial" w:cs="Arial"/>
          <w:b/>
          <w:color w:val="auto"/>
          <w:sz w:val="72"/>
          <w:szCs w:val="72"/>
        </w:rPr>
        <w:t>SEGUNDA</w:t>
      </w:r>
      <w:r w:rsidRPr="00B92499">
        <w:rPr>
          <w:rFonts w:ascii="Arial" w:hAnsi="Arial" w:cs="Arial"/>
          <w:b/>
          <w:color w:val="auto"/>
          <w:sz w:val="72"/>
          <w:szCs w:val="72"/>
        </w:rPr>
        <w:t xml:space="preserve"> EVALUACIÓN VINCULANTE 2019</w:t>
      </w:r>
      <w:bookmarkEnd w:id="0"/>
      <w:bookmarkEnd w:id="1"/>
    </w:p>
    <w:p w14:paraId="19B2050C" w14:textId="77777777" w:rsidR="005A0F6E" w:rsidRPr="00B92499" w:rsidRDefault="005A0F6E" w:rsidP="002E7D47">
      <w:pPr>
        <w:contextualSpacing/>
        <w:rPr>
          <w:rFonts w:ascii="Arial" w:hAnsi="Arial" w:cs="Arial"/>
          <w:b/>
        </w:rPr>
      </w:pPr>
    </w:p>
    <w:p w14:paraId="5D78692F" w14:textId="77777777" w:rsidR="005A0F6E" w:rsidRPr="00B92499" w:rsidRDefault="005A0F6E" w:rsidP="002E7D47">
      <w:pPr>
        <w:contextualSpacing/>
        <w:rPr>
          <w:rFonts w:ascii="Arial" w:hAnsi="Arial" w:cs="Arial"/>
          <w:b/>
        </w:rPr>
      </w:pPr>
    </w:p>
    <w:p w14:paraId="6F682961" w14:textId="77777777" w:rsidR="005A0F6E" w:rsidRPr="00B92499" w:rsidRDefault="005A0F6E" w:rsidP="002E7D47">
      <w:pPr>
        <w:contextualSpacing/>
        <w:rPr>
          <w:rFonts w:ascii="Arial" w:hAnsi="Arial" w:cs="Arial"/>
          <w:b/>
        </w:rPr>
      </w:pPr>
    </w:p>
    <w:p w14:paraId="0A08715E" w14:textId="77777777" w:rsidR="005A0F6E" w:rsidRPr="00B92499" w:rsidRDefault="005A0F6E" w:rsidP="002E7D47">
      <w:pPr>
        <w:contextualSpacing/>
        <w:rPr>
          <w:rFonts w:ascii="Arial" w:hAnsi="Arial" w:cs="Arial"/>
          <w:b/>
          <w:sz w:val="40"/>
          <w:szCs w:val="32"/>
        </w:rPr>
      </w:pPr>
    </w:p>
    <w:p w14:paraId="00F1D1D5" w14:textId="77777777" w:rsidR="005A0F6E" w:rsidRPr="00B92499" w:rsidRDefault="005A0F6E" w:rsidP="002E7D47">
      <w:pPr>
        <w:contextualSpacing/>
        <w:jc w:val="center"/>
        <w:rPr>
          <w:rFonts w:ascii="Arial" w:hAnsi="Arial" w:cs="Arial"/>
          <w:b/>
          <w:sz w:val="40"/>
          <w:szCs w:val="32"/>
        </w:rPr>
      </w:pPr>
      <w:r w:rsidRPr="00B92499">
        <w:rPr>
          <w:rFonts w:ascii="Arial" w:hAnsi="Arial" w:cs="Arial"/>
          <w:b/>
          <w:sz w:val="40"/>
          <w:szCs w:val="32"/>
        </w:rPr>
        <w:t>Dirección de Estado Abierto, Estudios y Evaluación</w:t>
      </w:r>
    </w:p>
    <w:p w14:paraId="580B9213" w14:textId="77777777" w:rsidR="002E7D47" w:rsidRPr="00B92499" w:rsidRDefault="002E7D47" w:rsidP="002E7D47">
      <w:pPr>
        <w:contextualSpacing/>
        <w:jc w:val="right"/>
        <w:rPr>
          <w:rFonts w:ascii="Arial" w:hAnsi="Arial" w:cs="Arial"/>
          <w:b/>
          <w:sz w:val="32"/>
          <w:szCs w:val="32"/>
        </w:rPr>
      </w:pPr>
    </w:p>
    <w:p w14:paraId="4EEFB77F" w14:textId="77777777" w:rsidR="002E7D47" w:rsidRPr="00B92499" w:rsidRDefault="002E7D47" w:rsidP="002E7D47">
      <w:pPr>
        <w:contextualSpacing/>
        <w:jc w:val="right"/>
        <w:rPr>
          <w:rFonts w:ascii="Arial" w:hAnsi="Arial" w:cs="Arial"/>
          <w:b/>
          <w:sz w:val="32"/>
          <w:szCs w:val="32"/>
        </w:rPr>
      </w:pPr>
    </w:p>
    <w:p w14:paraId="5D5F6B36" w14:textId="77777777" w:rsidR="002E7D47" w:rsidRPr="00B92499" w:rsidRDefault="002E7D47" w:rsidP="002E7D47">
      <w:pPr>
        <w:contextualSpacing/>
        <w:jc w:val="right"/>
        <w:rPr>
          <w:rFonts w:ascii="Arial" w:hAnsi="Arial" w:cs="Arial"/>
          <w:b/>
          <w:sz w:val="32"/>
          <w:szCs w:val="32"/>
        </w:rPr>
      </w:pPr>
    </w:p>
    <w:p w14:paraId="30A0DBEC" w14:textId="77777777" w:rsidR="002E7D47" w:rsidRPr="00B92499" w:rsidRDefault="002E7D47" w:rsidP="002E7D47">
      <w:pPr>
        <w:contextualSpacing/>
        <w:jc w:val="right"/>
        <w:rPr>
          <w:rFonts w:ascii="Arial" w:hAnsi="Arial" w:cs="Arial"/>
          <w:b/>
          <w:sz w:val="40"/>
          <w:szCs w:val="32"/>
        </w:rPr>
      </w:pPr>
    </w:p>
    <w:p w14:paraId="2621B664" w14:textId="3576746C" w:rsidR="005A0F6E" w:rsidRPr="00B92499" w:rsidRDefault="00571554" w:rsidP="002E7D47">
      <w:pPr>
        <w:contextualSpacing/>
        <w:jc w:val="right"/>
        <w:rPr>
          <w:rFonts w:ascii="Arial" w:hAnsi="Arial" w:cs="Arial"/>
          <w:b/>
          <w:sz w:val="40"/>
          <w:szCs w:val="32"/>
        </w:rPr>
      </w:pPr>
      <w:r w:rsidRPr="00B92499">
        <w:rPr>
          <w:rFonts w:ascii="Arial" w:hAnsi="Arial" w:cs="Arial"/>
          <w:b/>
          <w:sz w:val="40"/>
          <w:szCs w:val="32"/>
        </w:rPr>
        <w:t>30</w:t>
      </w:r>
      <w:r w:rsidR="005A0F6E" w:rsidRPr="00B92499">
        <w:rPr>
          <w:rFonts w:ascii="Arial" w:hAnsi="Arial" w:cs="Arial"/>
          <w:b/>
          <w:sz w:val="40"/>
          <w:szCs w:val="32"/>
        </w:rPr>
        <w:t xml:space="preserve"> de </w:t>
      </w:r>
      <w:r w:rsidR="004D3279" w:rsidRPr="00B92499">
        <w:rPr>
          <w:rFonts w:ascii="Arial" w:hAnsi="Arial" w:cs="Arial"/>
          <w:b/>
          <w:sz w:val="40"/>
          <w:szCs w:val="32"/>
        </w:rPr>
        <w:t>octubre</w:t>
      </w:r>
      <w:r w:rsidR="005A0F6E" w:rsidRPr="00B92499">
        <w:rPr>
          <w:rFonts w:ascii="Arial" w:hAnsi="Arial" w:cs="Arial"/>
          <w:b/>
          <w:sz w:val="40"/>
          <w:szCs w:val="32"/>
        </w:rPr>
        <w:t xml:space="preserve"> de 2019</w:t>
      </w:r>
    </w:p>
    <w:p w14:paraId="765EE301" w14:textId="77777777" w:rsidR="00387542" w:rsidRPr="00B92499" w:rsidRDefault="00387542" w:rsidP="002E7D47">
      <w:pPr>
        <w:tabs>
          <w:tab w:val="left" w:pos="5121"/>
        </w:tabs>
        <w:autoSpaceDE w:val="0"/>
        <w:autoSpaceDN w:val="0"/>
        <w:adjustRightInd w:val="0"/>
        <w:spacing w:line="360" w:lineRule="auto"/>
        <w:contextualSpacing/>
        <w:jc w:val="both"/>
        <w:rPr>
          <w:rFonts w:ascii="Arial" w:hAnsi="Arial" w:cs="Arial"/>
          <w:b/>
        </w:rPr>
      </w:pPr>
      <w:r w:rsidRPr="00B92499">
        <w:rPr>
          <w:rFonts w:ascii="Arial" w:hAnsi="Arial" w:cs="Arial"/>
          <w:b/>
        </w:rPr>
        <w:tab/>
      </w:r>
    </w:p>
    <w:p w14:paraId="3137A4E9" w14:textId="77777777" w:rsidR="005A0F6E" w:rsidRPr="00B92499" w:rsidRDefault="005A0F6E" w:rsidP="002E7D47">
      <w:pPr>
        <w:contextualSpacing/>
        <w:rPr>
          <w:rFonts w:ascii="Arial" w:hAnsi="Arial" w:cs="Arial"/>
          <w:b/>
        </w:rPr>
      </w:pPr>
      <w:r w:rsidRPr="00B92499">
        <w:rPr>
          <w:rFonts w:ascii="Arial" w:hAnsi="Arial" w:cs="Arial"/>
          <w:b/>
        </w:rPr>
        <w:br w:type="page"/>
      </w:r>
    </w:p>
    <w:p w14:paraId="3EBE48C0" w14:textId="77777777" w:rsidR="00AF69FA" w:rsidRPr="00B92499" w:rsidRDefault="00AF69FA" w:rsidP="002E7D47">
      <w:pPr>
        <w:autoSpaceDE w:val="0"/>
        <w:autoSpaceDN w:val="0"/>
        <w:adjustRightInd w:val="0"/>
        <w:spacing w:line="360" w:lineRule="auto"/>
        <w:contextualSpacing/>
        <w:jc w:val="center"/>
        <w:rPr>
          <w:rFonts w:ascii="Arial" w:hAnsi="Arial" w:cs="Arial"/>
          <w:b/>
        </w:rPr>
      </w:pPr>
      <w:r w:rsidRPr="00B92499">
        <w:rPr>
          <w:rFonts w:ascii="Arial" w:hAnsi="Arial" w:cs="Arial"/>
          <w:b/>
        </w:rPr>
        <w:lastRenderedPageBreak/>
        <w:t>ÍNDICE</w:t>
      </w:r>
    </w:p>
    <w:sdt>
      <w:sdtPr>
        <w:rPr>
          <w:rFonts w:ascii="Arial" w:eastAsiaTheme="minorHAnsi" w:hAnsi="Arial" w:cs="Arial"/>
          <w:color w:val="auto"/>
          <w:sz w:val="22"/>
          <w:szCs w:val="22"/>
          <w:lang w:val="es-ES_tradnl" w:eastAsia="en-US"/>
        </w:rPr>
        <w:id w:val="97077162"/>
        <w:docPartObj>
          <w:docPartGallery w:val="Table of Contents"/>
          <w:docPartUnique/>
        </w:docPartObj>
      </w:sdtPr>
      <w:sdtEndPr>
        <w:rPr>
          <w:rFonts w:eastAsia="Times New Roman"/>
          <w:b/>
          <w:bCs/>
          <w:sz w:val="24"/>
          <w:szCs w:val="24"/>
          <w:lang w:val="es-MX" w:eastAsia="es-ES_tradnl"/>
        </w:rPr>
      </w:sdtEndPr>
      <w:sdtContent>
        <w:p w14:paraId="24F9B9E1" w14:textId="77777777" w:rsidR="00552574" w:rsidRPr="00B92499" w:rsidRDefault="00552574" w:rsidP="00C9398D">
          <w:pPr>
            <w:pStyle w:val="TtuloTDC"/>
            <w:jc w:val="both"/>
            <w:rPr>
              <w:rFonts w:ascii="Arial" w:hAnsi="Arial" w:cs="Arial"/>
              <w:sz w:val="22"/>
              <w:szCs w:val="22"/>
              <w:lang w:val="es-ES_tradnl"/>
            </w:rPr>
          </w:pPr>
        </w:p>
        <w:p w14:paraId="2C0268BE" w14:textId="0DB2DF8A" w:rsidR="00661F74" w:rsidRPr="00B92499" w:rsidRDefault="00552574">
          <w:pPr>
            <w:pStyle w:val="TDC1"/>
            <w:tabs>
              <w:tab w:val="right" w:leader="dot" w:pos="8828"/>
            </w:tabs>
            <w:rPr>
              <w:rFonts w:cstheme="minorBidi"/>
              <w:noProof/>
              <w:sz w:val="24"/>
              <w:szCs w:val="24"/>
            </w:rPr>
          </w:pPr>
          <w:r w:rsidRPr="00B92499">
            <w:rPr>
              <w:rFonts w:ascii="Arial" w:hAnsi="Arial" w:cs="Arial"/>
            </w:rPr>
            <w:fldChar w:fldCharType="begin"/>
          </w:r>
          <w:r w:rsidRPr="00B92499">
            <w:rPr>
              <w:rFonts w:ascii="Arial" w:hAnsi="Arial" w:cs="Arial"/>
            </w:rPr>
            <w:instrText xml:space="preserve"> TOC \o "1-3" \h \z \u </w:instrText>
          </w:r>
          <w:r w:rsidRPr="00B92499">
            <w:rPr>
              <w:rFonts w:ascii="Arial" w:hAnsi="Arial" w:cs="Arial"/>
            </w:rPr>
            <w:fldChar w:fldCharType="separate"/>
          </w:r>
          <w:hyperlink w:anchor="_Toc23252960" w:history="1">
            <w:r w:rsidR="00661F74" w:rsidRPr="00B92499">
              <w:rPr>
                <w:rStyle w:val="Hipervnculo"/>
                <w:rFonts w:ascii="Arial" w:hAnsi="Arial" w:cs="Arial"/>
                <w:b/>
                <w:noProof/>
              </w:rPr>
              <w:t>INFORME RESPECTO DE LA SEGUNDA EVALUACIÓN VINCULANTE 2019</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_Toc23252960 \h </w:instrText>
            </w:r>
            <w:r w:rsidR="00661F74" w:rsidRPr="00B92499">
              <w:rPr>
                <w:noProof/>
                <w:webHidden/>
              </w:rPr>
            </w:r>
            <w:r w:rsidR="00661F74" w:rsidRPr="00B92499">
              <w:rPr>
                <w:noProof/>
                <w:webHidden/>
              </w:rPr>
              <w:fldChar w:fldCharType="separate"/>
            </w:r>
            <w:r w:rsidR="00661F74" w:rsidRPr="00B92499">
              <w:rPr>
                <w:noProof/>
                <w:webHidden/>
              </w:rPr>
              <w:t>1</w:t>
            </w:r>
            <w:r w:rsidR="00661F74" w:rsidRPr="00B92499">
              <w:rPr>
                <w:noProof/>
                <w:webHidden/>
              </w:rPr>
              <w:fldChar w:fldCharType="end"/>
            </w:r>
          </w:hyperlink>
        </w:p>
        <w:p w14:paraId="73791C49" w14:textId="1D1496F5" w:rsidR="00661F74" w:rsidRPr="00B92499" w:rsidRDefault="003B5C22">
          <w:pPr>
            <w:pStyle w:val="TDC1"/>
            <w:tabs>
              <w:tab w:val="right" w:leader="dot" w:pos="8828"/>
            </w:tabs>
            <w:rPr>
              <w:rFonts w:cstheme="minorBidi"/>
              <w:noProof/>
              <w:sz w:val="24"/>
              <w:szCs w:val="24"/>
            </w:rPr>
          </w:pPr>
          <w:hyperlink w:anchor="_Toc23252961" w:history="1">
            <w:r w:rsidR="00661F74" w:rsidRPr="00B92499">
              <w:rPr>
                <w:rStyle w:val="Hipervnculo"/>
                <w:rFonts w:ascii="Arial" w:hAnsi="Arial" w:cs="Arial"/>
                <w:b/>
                <w:noProof/>
              </w:rPr>
              <w:t>SÍNTESIS DE LOS ARTÍCULOS DE LAS OBLIGACIONES DE TRANSPARENCIA ANALIZADOS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_Toc23252961 \h </w:instrText>
            </w:r>
            <w:r w:rsidR="00661F74" w:rsidRPr="00B92499">
              <w:rPr>
                <w:noProof/>
                <w:webHidden/>
              </w:rPr>
            </w:r>
            <w:r w:rsidR="00661F74" w:rsidRPr="00B92499">
              <w:rPr>
                <w:noProof/>
                <w:webHidden/>
              </w:rPr>
              <w:fldChar w:fldCharType="separate"/>
            </w:r>
            <w:r w:rsidR="00661F74" w:rsidRPr="00B92499">
              <w:rPr>
                <w:noProof/>
                <w:webHidden/>
              </w:rPr>
              <w:t>7</w:t>
            </w:r>
            <w:r w:rsidR="00661F74" w:rsidRPr="00B92499">
              <w:rPr>
                <w:noProof/>
                <w:webHidden/>
              </w:rPr>
              <w:fldChar w:fldCharType="end"/>
            </w:r>
          </w:hyperlink>
        </w:p>
        <w:p w14:paraId="083EFF81" w14:textId="44E45AC7" w:rsidR="00661F74" w:rsidRPr="00B92499" w:rsidRDefault="003B5C22">
          <w:pPr>
            <w:pStyle w:val="TDC2"/>
            <w:tabs>
              <w:tab w:val="right" w:leader="dot" w:pos="8828"/>
            </w:tabs>
            <w:rPr>
              <w:rFonts w:cstheme="minorBidi"/>
              <w:noProof/>
              <w:sz w:val="24"/>
              <w:szCs w:val="24"/>
            </w:rPr>
          </w:pPr>
          <w:hyperlink w:anchor="_Toc23252962" w:history="1">
            <w:r w:rsidR="00661F74" w:rsidRPr="00B92499">
              <w:rPr>
                <w:rStyle w:val="Hipervnculo"/>
                <w:rFonts w:ascii="Arial" w:hAnsi="Arial" w:cs="Arial"/>
                <w:b/>
                <w:noProof/>
              </w:rPr>
              <w:t>Obligaciones Comunes de la Ley local de Transparencia</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_Toc23252962 \h </w:instrText>
            </w:r>
            <w:r w:rsidR="00661F74" w:rsidRPr="00B92499">
              <w:rPr>
                <w:noProof/>
                <w:webHidden/>
              </w:rPr>
            </w:r>
            <w:r w:rsidR="00661F74" w:rsidRPr="00B92499">
              <w:rPr>
                <w:noProof/>
                <w:webHidden/>
              </w:rPr>
              <w:fldChar w:fldCharType="separate"/>
            </w:r>
            <w:r w:rsidR="00661F74" w:rsidRPr="00B92499">
              <w:rPr>
                <w:noProof/>
                <w:webHidden/>
              </w:rPr>
              <w:t>7</w:t>
            </w:r>
            <w:r w:rsidR="00661F74" w:rsidRPr="00B92499">
              <w:rPr>
                <w:noProof/>
                <w:webHidden/>
              </w:rPr>
              <w:fldChar w:fldCharType="end"/>
            </w:r>
          </w:hyperlink>
        </w:p>
        <w:p w14:paraId="73DCA963" w14:textId="212AC34C" w:rsidR="00661F74" w:rsidRPr="00B92499" w:rsidRDefault="003B5C22">
          <w:pPr>
            <w:pStyle w:val="TDC2"/>
            <w:tabs>
              <w:tab w:val="right" w:leader="dot" w:pos="8828"/>
            </w:tabs>
            <w:rPr>
              <w:rFonts w:cstheme="minorBidi"/>
              <w:noProof/>
              <w:sz w:val="24"/>
              <w:szCs w:val="24"/>
            </w:rPr>
          </w:pPr>
          <w:hyperlink w:anchor="_Toc23252963" w:history="1">
            <w:r w:rsidR="00661F74" w:rsidRPr="00B92499">
              <w:rPr>
                <w:rStyle w:val="Hipervnculo"/>
                <w:rFonts w:ascii="Arial" w:hAnsi="Arial" w:cs="Arial"/>
                <w:b/>
                <w:noProof/>
              </w:rPr>
              <w:t>Obligaciones Específicas de la Ley local de Transparencia</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_Toc23252963 \h </w:instrText>
            </w:r>
            <w:r w:rsidR="00661F74" w:rsidRPr="00B92499">
              <w:rPr>
                <w:noProof/>
                <w:webHidden/>
              </w:rPr>
            </w:r>
            <w:r w:rsidR="00661F74" w:rsidRPr="00B92499">
              <w:rPr>
                <w:noProof/>
                <w:webHidden/>
              </w:rPr>
              <w:fldChar w:fldCharType="separate"/>
            </w:r>
            <w:r w:rsidR="00661F74" w:rsidRPr="00B92499">
              <w:rPr>
                <w:noProof/>
                <w:webHidden/>
              </w:rPr>
              <w:t>7</w:t>
            </w:r>
            <w:r w:rsidR="00661F74" w:rsidRPr="00B92499">
              <w:rPr>
                <w:noProof/>
                <w:webHidden/>
              </w:rPr>
              <w:fldChar w:fldCharType="end"/>
            </w:r>
          </w:hyperlink>
        </w:p>
        <w:p w14:paraId="735B3DA3" w14:textId="1FBBF40E" w:rsidR="00661F74" w:rsidRPr="00B92499" w:rsidRDefault="003B5C22">
          <w:pPr>
            <w:pStyle w:val="TDC2"/>
            <w:tabs>
              <w:tab w:val="right" w:leader="dot" w:pos="8828"/>
            </w:tabs>
            <w:rPr>
              <w:rFonts w:cstheme="minorBidi"/>
              <w:noProof/>
              <w:sz w:val="24"/>
              <w:szCs w:val="24"/>
            </w:rPr>
          </w:pPr>
          <w:hyperlink w:anchor="_Toc23252964" w:history="1">
            <w:r w:rsidR="00661F74" w:rsidRPr="00B92499">
              <w:rPr>
                <w:rStyle w:val="Hipervnculo"/>
                <w:rFonts w:ascii="Arial" w:hAnsi="Arial" w:cs="Arial"/>
                <w:b/>
                <w:noProof/>
              </w:rPr>
              <w:t>Disposiciones Particulares de la Ley local de Transparencia</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_Toc23252964 \h </w:instrText>
            </w:r>
            <w:r w:rsidR="00661F74" w:rsidRPr="00B92499">
              <w:rPr>
                <w:noProof/>
                <w:webHidden/>
              </w:rPr>
            </w:r>
            <w:r w:rsidR="00661F74" w:rsidRPr="00B92499">
              <w:rPr>
                <w:noProof/>
                <w:webHidden/>
              </w:rPr>
              <w:fldChar w:fldCharType="separate"/>
            </w:r>
            <w:r w:rsidR="00661F74" w:rsidRPr="00B92499">
              <w:rPr>
                <w:noProof/>
                <w:webHidden/>
              </w:rPr>
              <w:t>12</w:t>
            </w:r>
            <w:r w:rsidR="00661F74" w:rsidRPr="00B92499">
              <w:rPr>
                <w:noProof/>
                <w:webHidden/>
              </w:rPr>
              <w:fldChar w:fldCharType="end"/>
            </w:r>
          </w:hyperlink>
        </w:p>
        <w:p w14:paraId="0E588E07" w14:textId="5D4A2CEC" w:rsidR="00661F74" w:rsidRPr="00B92499" w:rsidRDefault="003B5C22">
          <w:pPr>
            <w:pStyle w:val="TDC1"/>
            <w:tabs>
              <w:tab w:val="right" w:leader="dot" w:pos="8828"/>
            </w:tabs>
            <w:rPr>
              <w:rFonts w:cstheme="minorBidi"/>
              <w:noProof/>
              <w:sz w:val="24"/>
              <w:szCs w:val="24"/>
            </w:rPr>
          </w:pPr>
          <w:hyperlink w:anchor="_Toc23252965" w:history="1">
            <w:r w:rsidR="00661F74" w:rsidRPr="00B92499">
              <w:rPr>
                <w:rStyle w:val="Hipervnculo"/>
                <w:rFonts w:ascii="Arial" w:hAnsi="Arial" w:cs="Arial"/>
                <w:b/>
                <w:noProof/>
              </w:rPr>
              <w:t>RESULTADOS GLOBALES DE LA EVALUACIÓN DEL CUMPLIMIENTO DE OBLIGACIONES DE TRANSPARENCIA SOBRE LA INFORMACIÓN DEL PRIMER SEMESTRE DEL AÑO 2019 POR PARTE DE 35 SUJETOS OBLIGADOS DE RECIENTE INCORPORACIÓN AL PADRÓN</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_Toc23252965 \h </w:instrText>
            </w:r>
            <w:r w:rsidR="00661F74" w:rsidRPr="00B92499">
              <w:rPr>
                <w:noProof/>
                <w:webHidden/>
              </w:rPr>
            </w:r>
            <w:r w:rsidR="00661F74" w:rsidRPr="00B92499">
              <w:rPr>
                <w:noProof/>
                <w:webHidden/>
              </w:rPr>
              <w:fldChar w:fldCharType="separate"/>
            </w:r>
            <w:r w:rsidR="00661F74" w:rsidRPr="00B92499">
              <w:rPr>
                <w:noProof/>
                <w:webHidden/>
              </w:rPr>
              <w:t>14</w:t>
            </w:r>
            <w:r w:rsidR="00661F74" w:rsidRPr="00B92499">
              <w:rPr>
                <w:noProof/>
                <w:webHidden/>
              </w:rPr>
              <w:fldChar w:fldCharType="end"/>
            </w:r>
          </w:hyperlink>
        </w:p>
        <w:p w14:paraId="764D6719" w14:textId="7B343CD4" w:rsidR="00661F74" w:rsidRPr="00B92499" w:rsidRDefault="003B5C22">
          <w:pPr>
            <w:pStyle w:val="TDC1"/>
            <w:tabs>
              <w:tab w:val="right" w:leader="dot" w:pos="8828"/>
            </w:tabs>
            <w:rPr>
              <w:rFonts w:cstheme="minorBidi"/>
              <w:noProof/>
              <w:sz w:val="24"/>
              <w:szCs w:val="24"/>
            </w:rPr>
          </w:pPr>
          <w:hyperlink w:anchor="_Toc23252966" w:history="1">
            <w:r w:rsidR="00661F74" w:rsidRPr="00B92499">
              <w:rPr>
                <w:rStyle w:val="Hipervnculo"/>
                <w:rFonts w:ascii="Arial" w:hAnsi="Arial" w:cs="Arial"/>
                <w:b/>
                <w:noProof/>
              </w:rPr>
              <w:t>TABLA DE RESULTADOS DE LA SEGUNDA EVALUACIÓN VINCULANTE 2019, RESPECTO DEL PRIMER SEMESTRE DEL EJERCICIO 2019, SOBRE LOS 35 SUJETOS OBLIGADOS INCORPORADOS AL PADRÓN</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_Toc23252966 \h </w:instrText>
            </w:r>
            <w:r w:rsidR="00661F74" w:rsidRPr="00B92499">
              <w:rPr>
                <w:noProof/>
                <w:webHidden/>
              </w:rPr>
            </w:r>
            <w:r w:rsidR="00661F74" w:rsidRPr="00B92499">
              <w:rPr>
                <w:noProof/>
                <w:webHidden/>
              </w:rPr>
              <w:fldChar w:fldCharType="separate"/>
            </w:r>
            <w:r w:rsidR="00661F74" w:rsidRPr="00B92499">
              <w:rPr>
                <w:noProof/>
                <w:webHidden/>
              </w:rPr>
              <w:t>18</w:t>
            </w:r>
            <w:r w:rsidR="00661F74" w:rsidRPr="00B92499">
              <w:rPr>
                <w:noProof/>
                <w:webHidden/>
              </w:rPr>
              <w:fldChar w:fldCharType="end"/>
            </w:r>
          </w:hyperlink>
        </w:p>
        <w:p w14:paraId="12793201" w14:textId="2F957240" w:rsidR="00661F74" w:rsidRPr="00B92499" w:rsidRDefault="003B5C22">
          <w:pPr>
            <w:pStyle w:val="TDC1"/>
            <w:tabs>
              <w:tab w:val="left" w:pos="440"/>
              <w:tab w:val="right" w:leader="dot" w:pos="8828"/>
            </w:tabs>
            <w:rPr>
              <w:rFonts w:cstheme="minorBidi"/>
              <w:noProof/>
              <w:sz w:val="24"/>
              <w:szCs w:val="24"/>
            </w:rPr>
          </w:pPr>
          <w:hyperlink w:anchor="_Toc23252967" w:history="1">
            <w:r w:rsidR="00661F74" w:rsidRPr="00B92499">
              <w:rPr>
                <w:rStyle w:val="Hipervnculo"/>
                <w:rFonts w:ascii="Arial" w:hAnsi="Arial" w:cs="Arial"/>
                <w:b/>
                <w:noProof/>
              </w:rPr>
              <w:t>1.</w:t>
            </w:r>
            <w:r w:rsidR="00661F74" w:rsidRPr="00B92499">
              <w:rPr>
                <w:rFonts w:cstheme="minorBidi"/>
                <w:noProof/>
                <w:sz w:val="24"/>
                <w:szCs w:val="24"/>
              </w:rPr>
              <w:tab/>
            </w:r>
            <w:r w:rsidR="00661F74" w:rsidRPr="00B92499">
              <w:rPr>
                <w:rStyle w:val="Hipervnculo"/>
                <w:rFonts w:ascii="Arial" w:hAnsi="Arial" w:cs="Arial"/>
                <w:b/>
                <w:noProof/>
              </w:rPr>
              <w:t>PODER EJECUTIVO</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_Toc23252967 \h </w:instrText>
            </w:r>
            <w:r w:rsidR="00661F74" w:rsidRPr="00B92499">
              <w:rPr>
                <w:noProof/>
                <w:webHidden/>
              </w:rPr>
            </w:r>
            <w:r w:rsidR="00661F74" w:rsidRPr="00B92499">
              <w:rPr>
                <w:noProof/>
                <w:webHidden/>
              </w:rPr>
              <w:fldChar w:fldCharType="separate"/>
            </w:r>
            <w:r w:rsidR="00661F74" w:rsidRPr="00B92499">
              <w:rPr>
                <w:noProof/>
                <w:webHidden/>
              </w:rPr>
              <w:t>20</w:t>
            </w:r>
            <w:r w:rsidR="00661F74" w:rsidRPr="00B92499">
              <w:rPr>
                <w:noProof/>
                <w:webHidden/>
              </w:rPr>
              <w:fldChar w:fldCharType="end"/>
            </w:r>
          </w:hyperlink>
        </w:p>
        <w:p w14:paraId="4E801705" w14:textId="075B2913" w:rsidR="00661F74" w:rsidRPr="00B92499" w:rsidRDefault="003B5C22">
          <w:pPr>
            <w:pStyle w:val="TDC2"/>
            <w:tabs>
              <w:tab w:val="left" w:pos="880"/>
              <w:tab w:val="right" w:leader="dot" w:pos="8828"/>
            </w:tabs>
            <w:rPr>
              <w:rFonts w:cstheme="minorBidi"/>
              <w:noProof/>
              <w:sz w:val="24"/>
              <w:szCs w:val="24"/>
            </w:rPr>
          </w:pPr>
          <w:hyperlink w:anchor="_Toc23252968" w:history="1">
            <w:r w:rsidR="00661F74" w:rsidRPr="00B92499">
              <w:rPr>
                <w:rStyle w:val="Hipervnculo"/>
                <w:rFonts w:ascii="Arial" w:hAnsi="Arial" w:cs="Arial"/>
                <w:b/>
                <w:noProof/>
              </w:rPr>
              <w:t>1.1.</w:t>
            </w:r>
            <w:r w:rsidR="00661F74" w:rsidRPr="00B92499">
              <w:rPr>
                <w:rFonts w:cstheme="minorBidi"/>
                <w:noProof/>
                <w:sz w:val="24"/>
                <w:szCs w:val="24"/>
              </w:rPr>
              <w:tab/>
            </w:r>
            <w:r w:rsidR="00661F74" w:rsidRPr="00B92499">
              <w:rPr>
                <w:rStyle w:val="Hipervnculo"/>
                <w:rFonts w:ascii="Arial" w:hAnsi="Arial" w:cs="Arial"/>
                <w:b/>
                <w:noProof/>
              </w:rPr>
              <w:t>ADMINISTRACIÓN CENTRAL</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_Toc23252968 \h </w:instrText>
            </w:r>
            <w:r w:rsidR="00661F74" w:rsidRPr="00B92499">
              <w:rPr>
                <w:noProof/>
                <w:webHidden/>
              </w:rPr>
            </w:r>
            <w:r w:rsidR="00661F74" w:rsidRPr="00B92499">
              <w:rPr>
                <w:noProof/>
                <w:webHidden/>
              </w:rPr>
              <w:fldChar w:fldCharType="separate"/>
            </w:r>
            <w:r w:rsidR="00661F74" w:rsidRPr="00B92499">
              <w:rPr>
                <w:noProof/>
                <w:webHidden/>
              </w:rPr>
              <w:t>20</w:t>
            </w:r>
            <w:r w:rsidR="00661F74" w:rsidRPr="00B92499">
              <w:rPr>
                <w:noProof/>
                <w:webHidden/>
              </w:rPr>
              <w:fldChar w:fldCharType="end"/>
            </w:r>
          </w:hyperlink>
        </w:p>
        <w:p w14:paraId="22FFFFAC" w14:textId="67C09AA9" w:rsidR="00661F74" w:rsidRPr="00B92499" w:rsidRDefault="003B5C22">
          <w:pPr>
            <w:pStyle w:val="TDC3"/>
            <w:tabs>
              <w:tab w:val="left" w:pos="1320"/>
              <w:tab w:val="right" w:leader="dot" w:pos="8828"/>
            </w:tabs>
            <w:rPr>
              <w:rFonts w:cstheme="minorBidi"/>
              <w:noProof/>
              <w:sz w:val="24"/>
              <w:szCs w:val="24"/>
            </w:rPr>
          </w:pPr>
          <w:hyperlink w:anchor="_Toc23252969" w:history="1">
            <w:r w:rsidR="00661F74" w:rsidRPr="00B92499">
              <w:rPr>
                <w:rStyle w:val="Hipervnculo"/>
                <w:rFonts w:ascii="Arial" w:hAnsi="Arial" w:cs="Arial"/>
                <w:b/>
                <w:noProof/>
              </w:rPr>
              <w:t>1.1.1.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la Administración Central</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_Toc23252969 \h </w:instrText>
            </w:r>
            <w:r w:rsidR="00661F74" w:rsidRPr="00B92499">
              <w:rPr>
                <w:noProof/>
                <w:webHidden/>
              </w:rPr>
            </w:r>
            <w:r w:rsidR="00661F74" w:rsidRPr="00B92499">
              <w:rPr>
                <w:noProof/>
                <w:webHidden/>
              </w:rPr>
              <w:fldChar w:fldCharType="separate"/>
            </w:r>
            <w:r w:rsidR="00661F74" w:rsidRPr="00B92499">
              <w:rPr>
                <w:noProof/>
                <w:webHidden/>
              </w:rPr>
              <w:t>22</w:t>
            </w:r>
            <w:r w:rsidR="00661F74" w:rsidRPr="00B92499">
              <w:rPr>
                <w:noProof/>
                <w:webHidden/>
              </w:rPr>
              <w:fldChar w:fldCharType="end"/>
            </w:r>
          </w:hyperlink>
        </w:p>
        <w:p w14:paraId="52002FB1" w14:textId="33CBCD18" w:rsidR="00661F74" w:rsidRPr="00B92499" w:rsidRDefault="003B5C22">
          <w:pPr>
            <w:pStyle w:val="TDC3"/>
            <w:tabs>
              <w:tab w:val="left" w:pos="1320"/>
              <w:tab w:val="right" w:leader="dot" w:pos="8828"/>
            </w:tabs>
            <w:rPr>
              <w:rFonts w:cstheme="minorBidi"/>
              <w:noProof/>
              <w:sz w:val="24"/>
              <w:szCs w:val="24"/>
            </w:rPr>
          </w:pPr>
          <w:hyperlink w:anchor="_Toc23252970" w:history="1">
            <w:r w:rsidR="00661F74" w:rsidRPr="00B92499">
              <w:rPr>
                <w:rStyle w:val="Hipervnculo"/>
                <w:rFonts w:ascii="Arial" w:hAnsi="Arial" w:cs="Arial"/>
                <w:b/>
                <w:noProof/>
              </w:rPr>
              <w:t>1.1.2.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_Toc23252970 \h </w:instrText>
            </w:r>
            <w:r w:rsidR="00661F74" w:rsidRPr="00B92499">
              <w:rPr>
                <w:noProof/>
                <w:webHidden/>
              </w:rPr>
            </w:r>
            <w:r w:rsidR="00661F74" w:rsidRPr="00B92499">
              <w:rPr>
                <w:noProof/>
                <w:webHidden/>
              </w:rPr>
              <w:fldChar w:fldCharType="separate"/>
            </w:r>
            <w:r w:rsidR="00661F74" w:rsidRPr="00B92499">
              <w:rPr>
                <w:noProof/>
                <w:webHidden/>
              </w:rPr>
              <w:t>23</w:t>
            </w:r>
            <w:r w:rsidR="00661F74" w:rsidRPr="00B92499">
              <w:rPr>
                <w:noProof/>
                <w:webHidden/>
              </w:rPr>
              <w:fldChar w:fldCharType="end"/>
            </w:r>
          </w:hyperlink>
        </w:p>
        <w:p w14:paraId="6C327AB5" w14:textId="7511425E" w:rsidR="00661F74" w:rsidRPr="00B92499" w:rsidRDefault="003B5C22">
          <w:pPr>
            <w:pStyle w:val="TDC3"/>
            <w:tabs>
              <w:tab w:val="left" w:pos="1320"/>
              <w:tab w:val="right" w:leader="dot" w:pos="8828"/>
            </w:tabs>
            <w:rPr>
              <w:rFonts w:cstheme="minorBidi"/>
              <w:noProof/>
              <w:sz w:val="24"/>
              <w:szCs w:val="24"/>
            </w:rPr>
          </w:pPr>
          <w:hyperlink w:anchor="_Toc23252971" w:history="1">
            <w:r w:rsidR="00661F74" w:rsidRPr="00B92499">
              <w:rPr>
                <w:rStyle w:val="Hipervnculo"/>
                <w:rFonts w:ascii="Arial" w:hAnsi="Arial" w:cs="Arial"/>
                <w:b/>
                <w:noProof/>
              </w:rPr>
              <w:t>1.1.3.</w:t>
            </w:r>
            <w:r w:rsidR="00661F74" w:rsidRPr="00B92499">
              <w:rPr>
                <w:rFonts w:cstheme="minorBidi"/>
                <w:noProof/>
                <w:sz w:val="24"/>
                <w:szCs w:val="24"/>
              </w:rPr>
              <w:tab/>
            </w:r>
            <w:r w:rsidR="00661F74" w:rsidRPr="00B92499">
              <w:rPr>
                <w:rStyle w:val="Hipervnculo"/>
                <w:rFonts w:ascii="Arial" w:hAnsi="Arial" w:cs="Arial"/>
                <w:b/>
                <w:noProof/>
              </w:rPr>
              <w:t>Análisis del artículo 122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_Toc23252971 \h </w:instrText>
            </w:r>
            <w:r w:rsidR="00661F74" w:rsidRPr="00B92499">
              <w:rPr>
                <w:noProof/>
                <w:webHidden/>
              </w:rPr>
            </w:r>
            <w:r w:rsidR="00661F74" w:rsidRPr="00B92499">
              <w:rPr>
                <w:noProof/>
                <w:webHidden/>
              </w:rPr>
              <w:fldChar w:fldCharType="separate"/>
            </w:r>
            <w:r w:rsidR="00661F74" w:rsidRPr="00B92499">
              <w:rPr>
                <w:noProof/>
                <w:webHidden/>
              </w:rPr>
              <w:t>27</w:t>
            </w:r>
            <w:r w:rsidR="00661F74" w:rsidRPr="00B92499">
              <w:rPr>
                <w:noProof/>
                <w:webHidden/>
              </w:rPr>
              <w:fldChar w:fldCharType="end"/>
            </w:r>
          </w:hyperlink>
        </w:p>
        <w:p w14:paraId="679A50B0" w14:textId="60147783" w:rsidR="00661F74" w:rsidRPr="00B92499" w:rsidRDefault="003B5C22">
          <w:pPr>
            <w:pStyle w:val="TDC3"/>
            <w:tabs>
              <w:tab w:val="left" w:pos="1320"/>
              <w:tab w:val="right" w:leader="dot" w:pos="8828"/>
            </w:tabs>
            <w:rPr>
              <w:rFonts w:cstheme="minorBidi"/>
              <w:noProof/>
              <w:sz w:val="24"/>
              <w:szCs w:val="24"/>
            </w:rPr>
          </w:pPr>
          <w:hyperlink w:anchor="_Toc23252972" w:history="1">
            <w:r w:rsidR="00661F74" w:rsidRPr="00B92499">
              <w:rPr>
                <w:rStyle w:val="Hipervnculo"/>
                <w:rFonts w:ascii="Arial" w:hAnsi="Arial" w:cs="Arial"/>
                <w:b/>
                <w:noProof/>
              </w:rPr>
              <w:t>1.1.4.</w:t>
            </w:r>
            <w:r w:rsidR="00661F74" w:rsidRPr="00B92499">
              <w:rPr>
                <w:rFonts w:cstheme="minorBidi"/>
                <w:noProof/>
                <w:sz w:val="24"/>
                <w:szCs w:val="24"/>
              </w:rPr>
              <w:tab/>
            </w:r>
            <w:r w:rsidR="00661F74" w:rsidRPr="00B92499">
              <w:rPr>
                <w:rStyle w:val="Hipervnculo"/>
                <w:rFonts w:ascii="Arial" w:hAnsi="Arial" w:cs="Arial"/>
                <w:b/>
                <w:noProof/>
              </w:rPr>
              <w:t>Análisis del artículo 123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_Toc23252972 \h </w:instrText>
            </w:r>
            <w:r w:rsidR="00661F74" w:rsidRPr="00B92499">
              <w:rPr>
                <w:noProof/>
                <w:webHidden/>
              </w:rPr>
            </w:r>
            <w:r w:rsidR="00661F74" w:rsidRPr="00B92499">
              <w:rPr>
                <w:noProof/>
                <w:webHidden/>
              </w:rPr>
              <w:fldChar w:fldCharType="separate"/>
            </w:r>
            <w:r w:rsidR="00661F74" w:rsidRPr="00B92499">
              <w:rPr>
                <w:noProof/>
                <w:webHidden/>
              </w:rPr>
              <w:t>27</w:t>
            </w:r>
            <w:r w:rsidR="00661F74" w:rsidRPr="00B92499">
              <w:rPr>
                <w:noProof/>
                <w:webHidden/>
              </w:rPr>
              <w:fldChar w:fldCharType="end"/>
            </w:r>
          </w:hyperlink>
        </w:p>
        <w:p w14:paraId="26164F2C" w14:textId="1ECA781B" w:rsidR="00661F74" w:rsidRPr="00B92499" w:rsidRDefault="003B5C22">
          <w:pPr>
            <w:pStyle w:val="TDC3"/>
            <w:tabs>
              <w:tab w:val="left" w:pos="1320"/>
              <w:tab w:val="right" w:leader="dot" w:pos="8828"/>
            </w:tabs>
            <w:rPr>
              <w:rFonts w:cstheme="minorBidi"/>
              <w:noProof/>
              <w:sz w:val="24"/>
              <w:szCs w:val="24"/>
            </w:rPr>
          </w:pPr>
          <w:hyperlink w:anchor="_Toc23252973" w:history="1">
            <w:r w:rsidR="00661F74" w:rsidRPr="00B92499">
              <w:rPr>
                <w:rStyle w:val="Hipervnculo"/>
                <w:rFonts w:ascii="Arial" w:hAnsi="Arial" w:cs="Arial"/>
                <w:b/>
                <w:noProof/>
              </w:rPr>
              <w:t>1.1.5.</w:t>
            </w:r>
            <w:r w:rsidR="00661F74" w:rsidRPr="00B92499">
              <w:rPr>
                <w:rFonts w:cstheme="minorBidi"/>
                <w:noProof/>
                <w:sz w:val="24"/>
                <w:szCs w:val="24"/>
              </w:rPr>
              <w:tab/>
            </w:r>
            <w:r w:rsidR="00661F74" w:rsidRPr="00B92499">
              <w:rPr>
                <w:rStyle w:val="Hipervnculo"/>
                <w:rFonts w:ascii="Arial" w:hAnsi="Arial" w:cs="Arial"/>
                <w:b/>
                <w:noProof/>
              </w:rPr>
              <w:t>Análisis del artículo 143</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_Toc23252973 \h </w:instrText>
            </w:r>
            <w:r w:rsidR="00661F74" w:rsidRPr="00B92499">
              <w:rPr>
                <w:noProof/>
                <w:webHidden/>
              </w:rPr>
            </w:r>
            <w:r w:rsidR="00661F74" w:rsidRPr="00B92499">
              <w:rPr>
                <w:noProof/>
                <w:webHidden/>
              </w:rPr>
              <w:fldChar w:fldCharType="separate"/>
            </w:r>
            <w:r w:rsidR="00661F74" w:rsidRPr="00B92499">
              <w:rPr>
                <w:noProof/>
                <w:webHidden/>
              </w:rPr>
              <w:t>30</w:t>
            </w:r>
            <w:r w:rsidR="00661F74" w:rsidRPr="00B92499">
              <w:rPr>
                <w:noProof/>
                <w:webHidden/>
              </w:rPr>
              <w:fldChar w:fldCharType="end"/>
            </w:r>
          </w:hyperlink>
        </w:p>
        <w:p w14:paraId="40E81FA7" w14:textId="20810A5E" w:rsidR="00661F74" w:rsidRPr="00B92499" w:rsidRDefault="003B5C22">
          <w:pPr>
            <w:pStyle w:val="TDC3"/>
            <w:tabs>
              <w:tab w:val="left" w:pos="1320"/>
              <w:tab w:val="right" w:leader="dot" w:pos="8828"/>
            </w:tabs>
            <w:rPr>
              <w:rFonts w:cstheme="minorBidi"/>
              <w:noProof/>
              <w:sz w:val="24"/>
              <w:szCs w:val="24"/>
            </w:rPr>
          </w:pPr>
          <w:hyperlink w:anchor="_Toc23252974" w:history="1">
            <w:r w:rsidR="00661F74" w:rsidRPr="00B92499">
              <w:rPr>
                <w:rStyle w:val="Hipervnculo"/>
                <w:rFonts w:ascii="Arial" w:hAnsi="Arial" w:cs="Arial"/>
                <w:b/>
                <w:noProof/>
              </w:rPr>
              <w:t>1.1.6.</w:t>
            </w:r>
            <w:r w:rsidR="00661F74" w:rsidRPr="00B92499">
              <w:rPr>
                <w:rFonts w:cstheme="minorBidi"/>
                <w:noProof/>
                <w:sz w:val="24"/>
                <w:szCs w:val="24"/>
              </w:rPr>
              <w:tab/>
            </w:r>
            <w:r w:rsidR="00661F74" w:rsidRPr="00B92499">
              <w:rPr>
                <w:rStyle w:val="Hipervnculo"/>
                <w:rFonts w:ascii="Arial" w:hAnsi="Arial" w:cs="Arial"/>
                <w:b/>
                <w:noProof/>
              </w:rPr>
              <w:t>Análisis del artículo 145</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_Toc23252974 \h </w:instrText>
            </w:r>
            <w:r w:rsidR="00661F74" w:rsidRPr="00B92499">
              <w:rPr>
                <w:noProof/>
                <w:webHidden/>
              </w:rPr>
            </w:r>
            <w:r w:rsidR="00661F74" w:rsidRPr="00B92499">
              <w:rPr>
                <w:noProof/>
                <w:webHidden/>
              </w:rPr>
              <w:fldChar w:fldCharType="separate"/>
            </w:r>
            <w:r w:rsidR="00661F74" w:rsidRPr="00B92499">
              <w:rPr>
                <w:noProof/>
                <w:webHidden/>
              </w:rPr>
              <w:t>31</w:t>
            </w:r>
            <w:r w:rsidR="00661F74" w:rsidRPr="00B92499">
              <w:rPr>
                <w:noProof/>
                <w:webHidden/>
              </w:rPr>
              <w:fldChar w:fldCharType="end"/>
            </w:r>
          </w:hyperlink>
        </w:p>
        <w:p w14:paraId="24132D40" w14:textId="31D817B7" w:rsidR="00661F74" w:rsidRPr="00B92499" w:rsidRDefault="003B5C22">
          <w:pPr>
            <w:pStyle w:val="TDC3"/>
            <w:tabs>
              <w:tab w:val="left" w:pos="1320"/>
              <w:tab w:val="right" w:leader="dot" w:pos="8828"/>
            </w:tabs>
            <w:rPr>
              <w:rFonts w:cstheme="minorBidi"/>
              <w:noProof/>
              <w:sz w:val="24"/>
              <w:szCs w:val="24"/>
            </w:rPr>
          </w:pPr>
          <w:hyperlink w:anchor="_Toc23252975" w:history="1">
            <w:r w:rsidR="00661F74" w:rsidRPr="00B92499">
              <w:rPr>
                <w:rStyle w:val="Hipervnculo"/>
                <w:rFonts w:ascii="Arial" w:hAnsi="Arial" w:cs="Arial"/>
                <w:b/>
                <w:noProof/>
              </w:rPr>
              <w:t>1.1.7.</w:t>
            </w:r>
            <w:r w:rsidR="00661F74" w:rsidRPr="00B92499">
              <w:rPr>
                <w:rFonts w:cstheme="minorBidi"/>
                <w:noProof/>
                <w:sz w:val="24"/>
                <w:szCs w:val="24"/>
              </w:rPr>
              <w:tab/>
            </w:r>
            <w:r w:rsidR="00661F74" w:rsidRPr="00B92499">
              <w:rPr>
                <w:rStyle w:val="Hipervnculo"/>
                <w:rFonts w:ascii="Arial" w:hAnsi="Arial" w:cs="Arial"/>
                <w:b/>
                <w:noProof/>
              </w:rPr>
              <w:t>Análisis del artículo 146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_Toc23252975 \h </w:instrText>
            </w:r>
            <w:r w:rsidR="00661F74" w:rsidRPr="00B92499">
              <w:rPr>
                <w:noProof/>
                <w:webHidden/>
              </w:rPr>
            </w:r>
            <w:r w:rsidR="00661F74" w:rsidRPr="00B92499">
              <w:rPr>
                <w:noProof/>
                <w:webHidden/>
              </w:rPr>
              <w:fldChar w:fldCharType="separate"/>
            </w:r>
            <w:r w:rsidR="00661F74" w:rsidRPr="00B92499">
              <w:rPr>
                <w:noProof/>
                <w:webHidden/>
              </w:rPr>
              <w:t>31</w:t>
            </w:r>
            <w:r w:rsidR="00661F74" w:rsidRPr="00B92499">
              <w:rPr>
                <w:noProof/>
                <w:webHidden/>
              </w:rPr>
              <w:fldChar w:fldCharType="end"/>
            </w:r>
          </w:hyperlink>
        </w:p>
        <w:p w14:paraId="0EBBB317" w14:textId="453715D1" w:rsidR="00661F74" w:rsidRPr="00B92499" w:rsidRDefault="003B5C22">
          <w:pPr>
            <w:pStyle w:val="TDC3"/>
            <w:tabs>
              <w:tab w:val="left" w:pos="1320"/>
              <w:tab w:val="right" w:leader="dot" w:pos="8828"/>
            </w:tabs>
            <w:rPr>
              <w:rFonts w:cstheme="minorBidi"/>
              <w:noProof/>
              <w:sz w:val="24"/>
              <w:szCs w:val="24"/>
            </w:rPr>
          </w:pPr>
          <w:hyperlink w:anchor="_Toc23252976" w:history="1">
            <w:r w:rsidR="00661F74" w:rsidRPr="00B92499">
              <w:rPr>
                <w:rStyle w:val="Hipervnculo"/>
                <w:rFonts w:ascii="Arial" w:hAnsi="Arial" w:cs="Arial"/>
                <w:b/>
                <w:noProof/>
              </w:rPr>
              <w:t>1.1.8.</w:t>
            </w:r>
            <w:r w:rsidR="00661F74" w:rsidRPr="00B92499">
              <w:rPr>
                <w:rFonts w:cstheme="minorBidi"/>
                <w:noProof/>
                <w:sz w:val="24"/>
                <w:szCs w:val="24"/>
              </w:rPr>
              <w:tab/>
            </w:r>
            <w:r w:rsidR="00661F74" w:rsidRPr="00B92499">
              <w:rPr>
                <w:rStyle w:val="Hipervnculo"/>
                <w:rFonts w:ascii="Arial" w:hAnsi="Arial" w:cs="Arial"/>
                <w:b/>
                <w:noProof/>
              </w:rPr>
              <w:t>Análisis del artículo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_Toc23252976 \h </w:instrText>
            </w:r>
            <w:r w:rsidR="00661F74" w:rsidRPr="00B92499">
              <w:rPr>
                <w:noProof/>
                <w:webHidden/>
              </w:rPr>
            </w:r>
            <w:r w:rsidR="00661F74" w:rsidRPr="00B92499">
              <w:rPr>
                <w:noProof/>
                <w:webHidden/>
              </w:rPr>
              <w:fldChar w:fldCharType="separate"/>
            </w:r>
            <w:r w:rsidR="00661F74" w:rsidRPr="00B92499">
              <w:rPr>
                <w:noProof/>
                <w:webHidden/>
              </w:rPr>
              <w:t>31</w:t>
            </w:r>
            <w:r w:rsidR="00661F74" w:rsidRPr="00B92499">
              <w:rPr>
                <w:noProof/>
                <w:webHidden/>
              </w:rPr>
              <w:fldChar w:fldCharType="end"/>
            </w:r>
          </w:hyperlink>
        </w:p>
        <w:p w14:paraId="51D22DBB" w14:textId="387D542D" w:rsidR="00661F74" w:rsidRPr="00B92499" w:rsidRDefault="003B5C22">
          <w:pPr>
            <w:pStyle w:val="TDC2"/>
            <w:tabs>
              <w:tab w:val="left" w:pos="880"/>
              <w:tab w:val="right" w:leader="dot" w:pos="8828"/>
            </w:tabs>
            <w:rPr>
              <w:rFonts w:cstheme="minorBidi"/>
              <w:noProof/>
              <w:sz w:val="24"/>
              <w:szCs w:val="24"/>
            </w:rPr>
          </w:pPr>
          <w:hyperlink w:anchor="_Toc23252977" w:history="1">
            <w:r w:rsidR="00661F74" w:rsidRPr="00B92499">
              <w:rPr>
                <w:rStyle w:val="Hipervnculo"/>
                <w:rFonts w:ascii="Arial" w:hAnsi="Arial" w:cs="Arial"/>
                <w:b/>
                <w:noProof/>
              </w:rPr>
              <w:t>1.2.</w:t>
            </w:r>
            <w:r w:rsidR="00661F74" w:rsidRPr="00B92499">
              <w:rPr>
                <w:rFonts w:cstheme="minorBidi"/>
                <w:noProof/>
                <w:sz w:val="24"/>
                <w:szCs w:val="24"/>
              </w:rPr>
              <w:tab/>
            </w:r>
            <w:r w:rsidR="00661F74" w:rsidRPr="00B92499">
              <w:rPr>
                <w:rStyle w:val="Hipervnculo"/>
                <w:rFonts w:ascii="Arial" w:hAnsi="Arial" w:cs="Arial"/>
                <w:b/>
                <w:noProof/>
              </w:rPr>
              <w:t>ÓRGANOS DESCONCENTRADOS, FIDEICOMISOS Y FONDOS PÚBLICOS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_Toc23252977 \h </w:instrText>
            </w:r>
            <w:r w:rsidR="00661F74" w:rsidRPr="00B92499">
              <w:rPr>
                <w:noProof/>
                <w:webHidden/>
              </w:rPr>
            </w:r>
            <w:r w:rsidR="00661F74" w:rsidRPr="00B92499">
              <w:rPr>
                <w:noProof/>
                <w:webHidden/>
              </w:rPr>
              <w:fldChar w:fldCharType="separate"/>
            </w:r>
            <w:r w:rsidR="00661F74" w:rsidRPr="00B92499">
              <w:rPr>
                <w:noProof/>
                <w:webHidden/>
              </w:rPr>
              <w:t>32</w:t>
            </w:r>
            <w:r w:rsidR="00661F74" w:rsidRPr="00B92499">
              <w:rPr>
                <w:noProof/>
                <w:webHidden/>
              </w:rPr>
              <w:fldChar w:fldCharType="end"/>
            </w:r>
          </w:hyperlink>
        </w:p>
        <w:p w14:paraId="07313781" w14:textId="64251207" w:rsidR="00661F74" w:rsidRPr="00B92499" w:rsidRDefault="003B5C22">
          <w:pPr>
            <w:pStyle w:val="TDC3"/>
            <w:tabs>
              <w:tab w:val="left" w:pos="1320"/>
              <w:tab w:val="right" w:leader="dot" w:pos="8828"/>
            </w:tabs>
            <w:rPr>
              <w:rFonts w:cstheme="minorBidi"/>
              <w:noProof/>
              <w:sz w:val="24"/>
              <w:szCs w:val="24"/>
            </w:rPr>
          </w:pPr>
          <w:hyperlink w:anchor="_Toc23252978" w:history="1">
            <w:r w:rsidR="00661F74" w:rsidRPr="00B92499">
              <w:rPr>
                <w:rStyle w:val="Hipervnculo"/>
                <w:rFonts w:ascii="Arial" w:hAnsi="Arial" w:cs="Arial"/>
                <w:b/>
                <w:noProof/>
              </w:rPr>
              <w:t>1.2.1.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los Órganos Desconcentrados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_Toc23252978 \h </w:instrText>
            </w:r>
            <w:r w:rsidR="00661F74" w:rsidRPr="00B92499">
              <w:rPr>
                <w:noProof/>
                <w:webHidden/>
              </w:rPr>
            </w:r>
            <w:r w:rsidR="00661F74" w:rsidRPr="00B92499">
              <w:rPr>
                <w:noProof/>
                <w:webHidden/>
              </w:rPr>
              <w:fldChar w:fldCharType="separate"/>
            </w:r>
            <w:r w:rsidR="00661F74" w:rsidRPr="00B92499">
              <w:rPr>
                <w:noProof/>
                <w:webHidden/>
              </w:rPr>
              <w:t>34</w:t>
            </w:r>
            <w:r w:rsidR="00661F74" w:rsidRPr="00B92499">
              <w:rPr>
                <w:noProof/>
                <w:webHidden/>
              </w:rPr>
              <w:fldChar w:fldCharType="end"/>
            </w:r>
          </w:hyperlink>
        </w:p>
        <w:p w14:paraId="062AF7CE" w14:textId="6CA5B1CA" w:rsidR="00661F74" w:rsidRPr="00B92499" w:rsidRDefault="003B5C22">
          <w:pPr>
            <w:pStyle w:val="TDC3"/>
            <w:tabs>
              <w:tab w:val="left" w:pos="1320"/>
              <w:tab w:val="right" w:leader="dot" w:pos="8828"/>
            </w:tabs>
            <w:rPr>
              <w:rFonts w:cstheme="minorBidi"/>
              <w:noProof/>
              <w:sz w:val="24"/>
              <w:szCs w:val="24"/>
            </w:rPr>
          </w:pPr>
          <w:hyperlink w:anchor="_Toc23252979" w:history="1">
            <w:r w:rsidR="00661F74" w:rsidRPr="00B92499">
              <w:rPr>
                <w:rStyle w:val="Hipervnculo"/>
                <w:rFonts w:ascii="Arial" w:hAnsi="Arial" w:cs="Arial"/>
                <w:b/>
                <w:noProof/>
              </w:rPr>
              <w:t>1.2.2.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_Toc23252979 \h </w:instrText>
            </w:r>
            <w:r w:rsidR="00661F74" w:rsidRPr="00B92499">
              <w:rPr>
                <w:noProof/>
                <w:webHidden/>
              </w:rPr>
            </w:r>
            <w:r w:rsidR="00661F74" w:rsidRPr="00B92499">
              <w:rPr>
                <w:noProof/>
                <w:webHidden/>
              </w:rPr>
              <w:fldChar w:fldCharType="separate"/>
            </w:r>
            <w:r w:rsidR="00661F74" w:rsidRPr="00B92499">
              <w:rPr>
                <w:noProof/>
                <w:webHidden/>
              </w:rPr>
              <w:t>35</w:t>
            </w:r>
            <w:r w:rsidR="00661F74" w:rsidRPr="00B92499">
              <w:rPr>
                <w:noProof/>
                <w:webHidden/>
              </w:rPr>
              <w:fldChar w:fldCharType="end"/>
            </w:r>
          </w:hyperlink>
        </w:p>
        <w:p w14:paraId="39714632" w14:textId="138B7C86" w:rsidR="00661F74" w:rsidRPr="00B92499" w:rsidRDefault="003B5C22">
          <w:pPr>
            <w:pStyle w:val="TDC3"/>
            <w:tabs>
              <w:tab w:val="left" w:pos="1320"/>
              <w:tab w:val="right" w:leader="dot" w:pos="8828"/>
            </w:tabs>
            <w:rPr>
              <w:rFonts w:cstheme="minorBidi"/>
              <w:noProof/>
              <w:sz w:val="24"/>
              <w:szCs w:val="24"/>
            </w:rPr>
          </w:pPr>
          <w:hyperlink w:anchor="_Toc23252980" w:history="1">
            <w:r w:rsidR="00661F74" w:rsidRPr="00B92499">
              <w:rPr>
                <w:rStyle w:val="Hipervnculo"/>
                <w:rFonts w:ascii="Arial" w:hAnsi="Arial" w:cs="Arial"/>
                <w:b/>
                <w:noProof/>
              </w:rPr>
              <w:t>1.2.3.</w:t>
            </w:r>
            <w:r w:rsidR="00661F74" w:rsidRPr="00B92499">
              <w:rPr>
                <w:rFonts w:cstheme="minorBidi"/>
                <w:noProof/>
                <w:sz w:val="24"/>
                <w:szCs w:val="24"/>
              </w:rPr>
              <w:tab/>
            </w:r>
            <w:r w:rsidR="00661F74" w:rsidRPr="00B92499">
              <w:rPr>
                <w:rStyle w:val="Hipervnculo"/>
                <w:rFonts w:ascii="Arial" w:hAnsi="Arial" w:cs="Arial"/>
                <w:b/>
                <w:noProof/>
              </w:rPr>
              <w:t>Análisis del artículo 123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_Toc23252980 \h </w:instrText>
            </w:r>
            <w:r w:rsidR="00661F74" w:rsidRPr="00B92499">
              <w:rPr>
                <w:noProof/>
                <w:webHidden/>
              </w:rPr>
            </w:r>
            <w:r w:rsidR="00661F74" w:rsidRPr="00B92499">
              <w:rPr>
                <w:noProof/>
                <w:webHidden/>
              </w:rPr>
              <w:fldChar w:fldCharType="separate"/>
            </w:r>
            <w:r w:rsidR="00661F74" w:rsidRPr="00B92499">
              <w:rPr>
                <w:noProof/>
                <w:webHidden/>
              </w:rPr>
              <w:t>39</w:t>
            </w:r>
            <w:r w:rsidR="00661F74" w:rsidRPr="00B92499">
              <w:rPr>
                <w:noProof/>
                <w:webHidden/>
              </w:rPr>
              <w:fldChar w:fldCharType="end"/>
            </w:r>
          </w:hyperlink>
        </w:p>
        <w:p w14:paraId="499EB405" w14:textId="2A8AF667" w:rsidR="00661F74" w:rsidRPr="00B92499" w:rsidRDefault="003B5C22">
          <w:pPr>
            <w:pStyle w:val="TDC3"/>
            <w:tabs>
              <w:tab w:val="left" w:pos="1320"/>
              <w:tab w:val="right" w:leader="dot" w:pos="8828"/>
            </w:tabs>
            <w:rPr>
              <w:rFonts w:cstheme="minorBidi"/>
              <w:noProof/>
              <w:sz w:val="24"/>
              <w:szCs w:val="24"/>
            </w:rPr>
          </w:pPr>
          <w:hyperlink w:anchor="_Toc23252981" w:history="1">
            <w:r w:rsidR="00661F74" w:rsidRPr="00B92499">
              <w:rPr>
                <w:rStyle w:val="Hipervnculo"/>
                <w:rFonts w:ascii="Arial" w:hAnsi="Arial" w:cs="Arial"/>
                <w:b/>
                <w:noProof/>
              </w:rPr>
              <w:t>1.2.4.</w:t>
            </w:r>
            <w:r w:rsidR="00661F74" w:rsidRPr="00B92499">
              <w:rPr>
                <w:rFonts w:cstheme="minorBidi"/>
                <w:noProof/>
                <w:sz w:val="24"/>
                <w:szCs w:val="24"/>
              </w:rPr>
              <w:tab/>
            </w:r>
            <w:r w:rsidR="00661F74" w:rsidRPr="00B92499">
              <w:rPr>
                <w:rStyle w:val="Hipervnculo"/>
                <w:rFonts w:ascii="Arial" w:hAnsi="Arial" w:cs="Arial"/>
                <w:b/>
                <w:noProof/>
              </w:rPr>
              <w:t>Análisis de los artículos 135 y 136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_Toc23252981 \h </w:instrText>
            </w:r>
            <w:r w:rsidR="00661F74" w:rsidRPr="00B92499">
              <w:rPr>
                <w:noProof/>
                <w:webHidden/>
              </w:rPr>
            </w:r>
            <w:r w:rsidR="00661F74" w:rsidRPr="00B92499">
              <w:rPr>
                <w:noProof/>
                <w:webHidden/>
              </w:rPr>
              <w:fldChar w:fldCharType="separate"/>
            </w:r>
            <w:r w:rsidR="00661F74" w:rsidRPr="00B92499">
              <w:rPr>
                <w:noProof/>
                <w:webHidden/>
              </w:rPr>
              <w:t>42</w:t>
            </w:r>
            <w:r w:rsidR="00661F74" w:rsidRPr="00B92499">
              <w:rPr>
                <w:noProof/>
                <w:webHidden/>
              </w:rPr>
              <w:fldChar w:fldCharType="end"/>
            </w:r>
          </w:hyperlink>
        </w:p>
        <w:p w14:paraId="686D0512" w14:textId="2EDB4CF0" w:rsidR="00661F74" w:rsidRPr="00B92499" w:rsidRDefault="003B5C22">
          <w:pPr>
            <w:pStyle w:val="TDC3"/>
            <w:tabs>
              <w:tab w:val="left" w:pos="1320"/>
              <w:tab w:val="right" w:leader="dot" w:pos="8828"/>
            </w:tabs>
            <w:rPr>
              <w:rFonts w:cstheme="minorBidi"/>
              <w:noProof/>
              <w:sz w:val="24"/>
              <w:szCs w:val="24"/>
            </w:rPr>
          </w:pPr>
          <w:hyperlink w:anchor="_Toc23252982" w:history="1">
            <w:r w:rsidR="00661F74" w:rsidRPr="00B92499">
              <w:rPr>
                <w:rStyle w:val="Hipervnculo"/>
                <w:rFonts w:ascii="Arial" w:hAnsi="Arial" w:cs="Arial"/>
                <w:b/>
                <w:noProof/>
              </w:rPr>
              <w:t>1.2.5.</w:t>
            </w:r>
            <w:r w:rsidR="00661F74" w:rsidRPr="00B92499">
              <w:rPr>
                <w:rFonts w:cstheme="minorBidi"/>
                <w:noProof/>
                <w:sz w:val="24"/>
                <w:szCs w:val="24"/>
              </w:rPr>
              <w:tab/>
            </w:r>
            <w:r w:rsidR="00661F74" w:rsidRPr="00B92499">
              <w:rPr>
                <w:rStyle w:val="Hipervnculo"/>
                <w:rFonts w:ascii="Arial" w:hAnsi="Arial" w:cs="Arial"/>
                <w:b/>
                <w:noProof/>
              </w:rPr>
              <w:t>Análisis del artículo 143</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_Toc23252982 \h </w:instrText>
            </w:r>
            <w:r w:rsidR="00661F74" w:rsidRPr="00B92499">
              <w:rPr>
                <w:noProof/>
                <w:webHidden/>
              </w:rPr>
            </w:r>
            <w:r w:rsidR="00661F74" w:rsidRPr="00B92499">
              <w:rPr>
                <w:noProof/>
                <w:webHidden/>
              </w:rPr>
              <w:fldChar w:fldCharType="separate"/>
            </w:r>
            <w:r w:rsidR="00661F74" w:rsidRPr="00B92499">
              <w:rPr>
                <w:noProof/>
                <w:webHidden/>
              </w:rPr>
              <w:t>42</w:t>
            </w:r>
            <w:r w:rsidR="00661F74" w:rsidRPr="00B92499">
              <w:rPr>
                <w:noProof/>
                <w:webHidden/>
              </w:rPr>
              <w:fldChar w:fldCharType="end"/>
            </w:r>
          </w:hyperlink>
        </w:p>
        <w:p w14:paraId="39687AE7" w14:textId="1B774CA1" w:rsidR="00661F74" w:rsidRPr="00B92499" w:rsidRDefault="003B5C22">
          <w:pPr>
            <w:pStyle w:val="TDC3"/>
            <w:tabs>
              <w:tab w:val="left" w:pos="1320"/>
              <w:tab w:val="right" w:leader="dot" w:pos="8828"/>
            </w:tabs>
            <w:rPr>
              <w:rFonts w:cstheme="minorBidi"/>
              <w:noProof/>
              <w:sz w:val="24"/>
              <w:szCs w:val="24"/>
            </w:rPr>
          </w:pPr>
          <w:hyperlink w:anchor="_Toc23252983" w:history="1">
            <w:r w:rsidR="00661F74" w:rsidRPr="00B92499">
              <w:rPr>
                <w:rStyle w:val="Hipervnculo"/>
                <w:rFonts w:ascii="Arial" w:hAnsi="Arial" w:cs="Arial"/>
                <w:b/>
                <w:noProof/>
              </w:rPr>
              <w:t>1.2.6.</w:t>
            </w:r>
            <w:r w:rsidR="00661F74" w:rsidRPr="00B92499">
              <w:rPr>
                <w:rFonts w:cstheme="minorBidi"/>
                <w:noProof/>
                <w:sz w:val="24"/>
                <w:szCs w:val="24"/>
              </w:rPr>
              <w:tab/>
            </w:r>
            <w:r w:rsidR="00661F74" w:rsidRPr="00B92499">
              <w:rPr>
                <w:rStyle w:val="Hipervnculo"/>
                <w:rFonts w:ascii="Arial" w:hAnsi="Arial" w:cs="Arial"/>
                <w:b/>
                <w:noProof/>
              </w:rPr>
              <w:t>Análisis del artículo 145</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_Toc23252983 \h </w:instrText>
            </w:r>
            <w:r w:rsidR="00661F74" w:rsidRPr="00B92499">
              <w:rPr>
                <w:noProof/>
                <w:webHidden/>
              </w:rPr>
            </w:r>
            <w:r w:rsidR="00661F74" w:rsidRPr="00B92499">
              <w:rPr>
                <w:noProof/>
                <w:webHidden/>
              </w:rPr>
              <w:fldChar w:fldCharType="separate"/>
            </w:r>
            <w:r w:rsidR="00661F74" w:rsidRPr="00B92499">
              <w:rPr>
                <w:noProof/>
                <w:webHidden/>
              </w:rPr>
              <w:t>43</w:t>
            </w:r>
            <w:r w:rsidR="00661F74" w:rsidRPr="00B92499">
              <w:rPr>
                <w:noProof/>
                <w:webHidden/>
              </w:rPr>
              <w:fldChar w:fldCharType="end"/>
            </w:r>
          </w:hyperlink>
        </w:p>
        <w:p w14:paraId="783FB0F4" w14:textId="48B370FE" w:rsidR="00661F74" w:rsidRPr="00B92499" w:rsidRDefault="003B5C22">
          <w:pPr>
            <w:pStyle w:val="TDC3"/>
            <w:tabs>
              <w:tab w:val="left" w:pos="1320"/>
              <w:tab w:val="right" w:leader="dot" w:pos="8828"/>
            </w:tabs>
            <w:rPr>
              <w:rFonts w:cstheme="minorBidi"/>
              <w:noProof/>
              <w:sz w:val="24"/>
              <w:szCs w:val="24"/>
            </w:rPr>
          </w:pPr>
          <w:hyperlink w:anchor="_Toc23252984" w:history="1">
            <w:r w:rsidR="00661F74" w:rsidRPr="00B92499">
              <w:rPr>
                <w:rStyle w:val="Hipervnculo"/>
                <w:rFonts w:ascii="Arial" w:hAnsi="Arial" w:cs="Arial"/>
                <w:b/>
                <w:noProof/>
              </w:rPr>
              <w:t>1.2.7.</w:t>
            </w:r>
            <w:r w:rsidR="00661F74" w:rsidRPr="00B92499">
              <w:rPr>
                <w:rFonts w:cstheme="minorBidi"/>
                <w:noProof/>
                <w:sz w:val="24"/>
                <w:szCs w:val="24"/>
              </w:rPr>
              <w:tab/>
            </w:r>
            <w:r w:rsidR="00661F74" w:rsidRPr="00B92499">
              <w:rPr>
                <w:rStyle w:val="Hipervnculo"/>
                <w:rFonts w:ascii="Arial" w:hAnsi="Arial" w:cs="Arial"/>
                <w:b/>
                <w:noProof/>
              </w:rPr>
              <w:t>Análisis del artículo 146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_Toc23252984 \h </w:instrText>
            </w:r>
            <w:r w:rsidR="00661F74" w:rsidRPr="00B92499">
              <w:rPr>
                <w:noProof/>
                <w:webHidden/>
              </w:rPr>
            </w:r>
            <w:r w:rsidR="00661F74" w:rsidRPr="00B92499">
              <w:rPr>
                <w:noProof/>
                <w:webHidden/>
              </w:rPr>
              <w:fldChar w:fldCharType="separate"/>
            </w:r>
            <w:r w:rsidR="00661F74" w:rsidRPr="00B92499">
              <w:rPr>
                <w:noProof/>
                <w:webHidden/>
              </w:rPr>
              <w:t>43</w:t>
            </w:r>
            <w:r w:rsidR="00661F74" w:rsidRPr="00B92499">
              <w:rPr>
                <w:noProof/>
                <w:webHidden/>
              </w:rPr>
              <w:fldChar w:fldCharType="end"/>
            </w:r>
          </w:hyperlink>
        </w:p>
        <w:p w14:paraId="3E7473F5" w14:textId="2D011820" w:rsidR="00661F74" w:rsidRPr="00B92499" w:rsidRDefault="003B5C22">
          <w:pPr>
            <w:pStyle w:val="TDC3"/>
            <w:tabs>
              <w:tab w:val="left" w:pos="1320"/>
              <w:tab w:val="right" w:leader="dot" w:pos="8828"/>
            </w:tabs>
            <w:rPr>
              <w:rFonts w:cstheme="minorBidi"/>
              <w:noProof/>
              <w:sz w:val="24"/>
              <w:szCs w:val="24"/>
            </w:rPr>
          </w:pPr>
          <w:hyperlink w:anchor="_Toc23252985" w:history="1">
            <w:r w:rsidR="00661F74" w:rsidRPr="00B92499">
              <w:rPr>
                <w:rStyle w:val="Hipervnculo"/>
                <w:rFonts w:ascii="Arial" w:hAnsi="Arial" w:cs="Arial"/>
                <w:b/>
                <w:noProof/>
              </w:rPr>
              <w:t>1.2.8.</w:t>
            </w:r>
            <w:r w:rsidR="00661F74" w:rsidRPr="00B92499">
              <w:rPr>
                <w:rFonts w:cstheme="minorBidi"/>
                <w:noProof/>
                <w:sz w:val="24"/>
                <w:szCs w:val="24"/>
              </w:rPr>
              <w:tab/>
            </w:r>
            <w:r w:rsidR="00661F74" w:rsidRPr="00B92499">
              <w:rPr>
                <w:rStyle w:val="Hipervnculo"/>
                <w:rFonts w:ascii="Arial" w:hAnsi="Arial" w:cs="Arial"/>
                <w:b/>
                <w:noProof/>
              </w:rPr>
              <w:t>Análisis del artículo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_Toc23252985 \h </w:instrText>
            </w:r>
            <w:r w:rsidR="00661F74" w:rsidRPr="00B92499">
              <w:rPr>
                <w:noProof/>
                <w:webHidden/>
              </w:rPr>
            </w:r>
            <w:r w:rsidR="00661F74" w:rsidRPr="00B92499">
              <w:rPr>
                <w:noProof/>
                <w:webHidden/>
              </w:rPr>
              <w:fldChar w:fldCharType="separate"/>
            </w:r>
            <w:r w:rsidR="00661F74" w:rsidRPr="00B92499">
              <w:rPr>
                <w:noProof/>
                <w:webHidden/>
              </w:rPr>
              <w:t>44</w:t>
            </w:r>
            <w:r w:rsidR="00661F74" w:rsidRPr="00B92499">
              <w:rPr>
                <w:noProof/>
                <w:webHidden/>
              </w:rPr>
              <w:fldChar w:fldCharType="end"/>
            </w:r>
          </w:hyperlink>
        </w:p>
        <w:p w14:paraId="14914676" w14:textId="1BB34EBE" w:rsidR="00661F74" w:rsidRPr="00B92499" w:rsidRDefault="003B5C22">
          <w:pPr>
            <w:pStyle w:val="TDC2"/>
            <w:tabs>
              <w:tab w:val="left" w:pos="880"/>
              <w:tab w:val="right" w:leader="dot" w:pos="8828"/>
            </w:tabs>
            <w:rPr>
              <w:rFonts w:cstheme="minorBidi"/>
              <w:noProof/>
              <w:sz w:val="24"/>
              <w:szCs w:val="24"/>
            </w:rPr>
          </w:pPr>
          <w:hyperlink w:anchor="_Toc23252986" w:history="1">
            <w:r w:rsidR="00661F74" w:rsidRPr="00B92499">
              <w:rPr>
                <w:rStyle w:val="Hipervnculo"/>
                <w:rFonts w:ascii="Arial" w:hAnsi="Arial" w:cs="Arial"/>
                <w:b/>
                <w:noProof/>
              </w:rPr>
              <w:t>1.4</w:t>
            </w:r>
            <w:r w:rsidR="00661F74" w:rsidRPr="00B92499">
              <w:rPr>
                <w:rFonts w:cstheme="minorBidi"/>
                <w:noProof/>
                <w:sz w:val="24"/>
                <w:szCs w:val="24"/>
              </w:rPr>
              <w:tab/>
            </w:r>
            <w:r w:rsidR="00661F74" w:rsidRPr="00B92499">
              <w:rPr>
                <w:rStyle w:val="Hipervnculo"/>
                <w:rFonts w:ascii="Arial" w:hAnsi="Arial" w:cs="Arial"/>
                <w:b/>
                <w:noProof/>
              </w:rPr>
              <w:t>DEMARCACIONES POLÍTICAS DE LA CIUDAD DE MÉXICO</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_Toc23252986 \h </w:instrText>
            </w:r>
            <w:r w:rsidR="00661F74" w:rsidRPr="00B92499">
              <w:rPr>
                <w:noProof/>
                <w:webHidden/>
              </w:rPr>
            </w:r>
            <w:r w:rsidR="00661F74" w:rsidRPr="00B92499">
              <w:rPr>
                <w:noProof/>
                <w:webHidden/>
              </w:rPr>
              <w:fldChar w:fldCharType="separate"/>
            </w:r>
            <w:r w:rsidR="00661F74" w:rsidRPr="00B92499">
              <w:rPr>
                <w:noProof/>
                <w:webHidden/>
              </w:rPr>
              <w:t>45</w:t>
            </w:r>
            <w:r w:rsidR="00661F74" w:rsidRPr="00B92499">
              <w:rPr>
                <w:noProof/>
                <w:webHidden/>
              </w:rPr>
              <w:fldChar w:fldCharType="end"/>
            </w:r>
          </w:hyperlink>
        </w:p>
        <w:p w14:paraId="2448E925" w14:textId="681AD8BF" w:rsidR="00661F74" w:rsidRPr="00B92499" w:rsidRDefault="003B5C22">
          <w:pPr>
            <w:pStyle w:val="TDC3"/>
            <w:tabs>
              <w:tab w:val="left" w:pos="1320"/>
              <w:tab w:val="right" w:leader="dot" w:pos="8828"/>
            </w:tabs>
            <w:rPr>
              <w:rFonts w:cstheme="minorBidi"/>
              <w:noProof/>
              <w:sz w:val="24"/>
              <w:szCs w:val="24"/>
            </w:rPr>
          </w:pPr>
          <w:hyperlink w:anchor="_Toc23252987" w:history="1">
            <w:r w:rsidR="00661F74" w:rsidRPr="00B92499">
              <w:rPr>
                <w:rStyle w:val="Hipervnculo"/>
                <w:rFonts w:ascii="Arial" w:hAnsi="Arial" w:cs="Arial"/>
                <w:b/>
                <w:noProof/>
              </w:rPr>
              <w:t>1.4.1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las Demarcaciones Políticas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_Toc23252987 \h </w:instrText>
            </w:r>
            <w:r w:rsidR="00661F74" w:rsidRPr="00B92499">
              <w:rPr>
                <w:noProof/>
                <w:webHidden/>
              </w:rPr>
            </w:r>
            <w:r w:rsidR="00661F74" w:rsidRPr="00B92499">
              <w:rPr>
                <w:noProof/>
                <w:webHidden/>
              </w:rPr>
              <w:fldChar w:fldCharType="separate"/>
            </w:r>
            <w:r w:rsidR="00661F74" w:rsidRPr="00B92499">
              <w:rPr>
                <w:noProof/>
                <w:webHidden/>
              </w:rPr>
              <w:t>47</w:t>
            </w:r>
            <w:r w:rsidR="00661F74" w:rsidRPr="00B92499">
              <w:rPr>
                <w:noProof/>
                <w:webHidden/>
              </w:rPr>
              <w:fldChar w:fldCharType="end"/>
            </w:r>
          </w:hyperlink>
        </w:p>
        <w:p w14:paraId="1C2506D6" w14:textId="5C4B3A54" w:rsidR="00661F74" w:rsidRPr="00B92499" w:rsidRDefault="003B5C22">
          <w:pPr>
            <w:pStyle w:val="TDC3"/>
            <w:tabs>
              <w:tab w:val="left" w:pos="1320"/>
              <w:tab w:val="right" w:leader="dot" w:pos="8828"/>
            </w:tabs>
            <w:rPr>
              <w:rFonts w:cstheme="minorBidi"/>
              <w:noProof/>
              <w:sz w:val="24"/>
              <w:szCs w:val="24"/>
            </w:rPr>
          </w:pPr>
          <w:hyperlink w:anchor="_Toc23252988" w:history="1">
            <w:r w:rsidR="00661F74" w:rsidRPr="00B92499">
              <w:rPr>
                <w:rStyle w:val="Hipervnculo"/>
                <w:rFonts w:ascii="Arial" w:hAnsi="Arial" w:cs="Arial"/>
                <w:b/>
                <w:noProof/>
              </w:rPr>
              <w:t>1.4.2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_Toc23252988 \h </w:instrText>
            </w:r>
            <w:r w:rsidR="00661F74" w:rsidRPr="00B92499">
              <w:rPr>
                <w:noProof/>
                <w:webHidden/>
              </w:rPr>
            </w:r>
            <w:r w:rsidR="00661F74" w:rsidRPr="00B92499">
              <w:rPr>
                <w:noProof/>
                <w:webHidden/>
              </w:rPr>
              <w:fldChar w:fldCharType="separate"/>
            </w:r>
            <w:r w:rsidR="00661F74" w:rsidRPr="00B92499">
              <w:rPr>
                <w:noProof/>
                <w:webHidden/>
              </w:rPr>
              <w:t>48</w:t>
            </w:r>
            <w:r w:rsidR="00661F74" w:rsidRPr="00B92499">
              <w:rPr>
                <w:noProof/>
                <w:webHidden/>
              </w:rPr>
              <w:fldChar w:fldCharType="end"/>
            </w:r>
          </w:hyperlink>
        </w:p>
        <w:p w14:paraId="538403C7" w14:textId="046FA57B" w:rsidR="00661F74" w:rsidRPr="00B92499" w:rsidRDefault="003B5C22">
          <w:pPr>
            <w:pStyle w:val="TDC3"/>
            <w:tabs>
              <w:tab w:val="left" w:pos="1320"/>
              <w:tab w:val="right" w:leader="dot" w:pos="8828"/>
            </w:tabs>
            <w:rPr>
              <w:rFonts w:cstheme="minorBidi"/>
              <w:noProof/>
              <w:sz w:val="24"/>
              <w:szCs w:val="24"/>
            </w:rPr>
          </w:pPr>
          <w:hyperlink w:anchor="_Toc23252989" w:history="1">
            <w:r w:rsidR="00661F74" w:rsidRPr="00B92499">
              <w:rPr>
                <w:rStyle w:val="Hipervnculo"/>
                <w:rFonts w:ascii="Arial" w:hAnsi="Arial" w:cs="Arial"/>
                <w:b/>
                <w:noProof/>
              </w:rPr>
              <w:t>1.4.3</w:t>
            </w:r>
            <w:r w:rsidR="00661F74" w:rsidRPr="00B92499">
              <w:rPr>
                <w:rFonts w:cstheme="minorBidi"/>
                <w:noProof/>
                <w:sz w:val="24"/>
                <w:szCs w:val="24"/>
              </w:rPr>
              <w:tab/>
            </w:r>
            <w:r w:rsidR="00661F74" w:rsidRPr="00B92499">
              <w:rPr>
                <w:rStyle w:val="Hipervnculo"/>
                <w:rFonts w:ascii="Arial" w:hAnsi="Arial" w:cs="Arial"/>
                <w:b/>
                <w:noProof/>
              </w:rPr>
              <w:t>Análisis del artículo 122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_Toc23252989 \h </w:instrText>
            </w:r>
            <w:r w:rsidR="00661F74" w:rsidRPr="00B92499">
              <w:rPr>
                <w:noProof/>
                <w:webHidden/>
              </w:rPr>
            </w:r>
            <w:r w:rsidR="00661F74" w:rsidRPr="00B92499">
              <w:rPr>
                <w:noProof/>
                <w:webHidden/>
              </w:rPr>
              <w:fldChar w:fldCharType="separate"/>
            </w:r>
            <w:r w:rsidR="00661F74" w:rsidRPr="00B92499">
              <w:rPr>
                <w:noProof/>
                <w:webHidden/>
              </w:rPr>
              <w:t>51</w:t>
            </w:r>
            <w:r w:rsidR="00661F74" w:rsidRPr="00B92499">
              <w:rPr>
                <w:noProof/>
                <w:webHidden/>
              </w:rPr>
              <w:fldChar w:fldCharType="end"/>
            </w:r>
          </w:hyperlink>
        </w:p>
        <w:p w14:paraId="0A91C070" w14:textId="164CD010" w:rsidR="00661F74" w:rsidRPr="00B92499" w:rsidRDefault="003B5C22">
          <w:pPr>
            <w:pStyle w:val="TDC3"/>
            <w:tabs>
              <w:tab w:val="left" w:pos="1320"/>
              <w:tab w:val="right" w:leader="dot" w:pos="8828"/>
            </w:tabs>
            <w:rPr>
              <w:rFonts w:cstheme="minorBidi"/>
              <w:noProof/>
              <w:sz w:val="24"/>
              <w:szCs w:val="24"/>
            </w:rPr>
          </w:pPr>
          <w:hyperlink w:anchor="_Toc23252990" w:history="1">
            <w:r w:rsidR="00661F74" w:rsidRPr="00B92499">
              <w:rPr>
                <w:rStyle w:val="Hipervnculo"/>
                <w:rFonts w:ascii="Arial" w:hAnsi="Arial" w:cs="Arial"/>
                <w:b/>
                <w:noProof/>
              </w:rPr>
              <w:t>1.4.4</w:t>
            </w:r>
            <w:r w:rsidR="00661F74" w:rsidRPr="00B92499">
              <w:rPr>
                <w:rFonts w:cstheme="minorBidi"/>
                <w:noProof/>
                <w:sz w:val="24"/>
                <w:szCs w:val="24"/>
              </w:rPr>
              <w:tab/>
            </w:r>
            <w:r w:rsidR="00661F74" w:rsidRPr="00B92499">
              <w:rPr>
                <w:rStyle w:val="Hipervnculo"/>
                <w:rFonts w:ascii="Arial" w:hAnsi="Arial" w:cs="Arial"/>
                <w:b/>
                <w:noProof/>
              </w:rPr>
              <w:t>Análisis del artículo 124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_Toc23252990 \h </w:instrText>
            </w:r>
            <w:r w:rsidR="00661F74" w:rsidRPr="00B92499">
              <w:rPr>
                <w:noProof/>
                <w:webHidden/>
              </w:rPr>
            </w:r>
            <w:r w:rsidR="00661F74" w:rsidRPr="00B92499">
              <w:rPr>
                <w:noProof/>
                <w:webHidden/>
              </w:rPr>
              <w:fldChar w:fldCharType="separate"/>
            </w:r>
            <w:r w:rsidR="00661F74" w:rsidRPr="00B92499">
              <w:rPr>
                <w:noProof/>
                <w:webHidden/>
              </w:rPr>
              <w:t>52</w:t>
            </w:r>
            <w:r w:rsidR="00661F74" w:rsidRPr="00B92499">
              <w:rPr>
                <w:noProof/>
                <w:webHidden/>
              </w:rPr>
              <w:fldChar w:fldCharType="end"/>
            </w:r>
          </w:hyperlink>
        </w:p>
        <w:p w14:paraId="149045AF" w14:textId="172BD668" w:rsidR="00661F74" w:rsidRPr="00B92499" w:rsidRDefault="003B5C22">
          <w:pPr>
            <w:pStyle w:val="TDC3"/>
            <w:tabs>
              <w:tab w:val="left" w:pos="1320"/>
              <w:tab w:val="right" w:leader="dot" w:pos="8828"/>
            </w:tabs>
            <w:rPr>
              <w:rFonts w:cstheme="minorBidi"/>
              <w:noProof/>
              <w:sz w:val="24"/>
              <w:szCs w:val="24"/>
            </w:rPr>
          </w:pPr>
          <w:hyperlink w:anchor="_Toc23252991" w:history="1">
            <w:r w:rsidR="00661F74" w:rsidRPr="00B92499">
              <w:rPr>
                <w:rStyle w:val="Hipervnculo"/>
                <w:rFonts w:ascii="Arial" w:hAnsi="Arial" w:cs="Arial"/>
                <w:b/>
                <w:noProof/>
              </w:rPr>
              <w:t>1.4.5</w:t>
            </w:r>
            <w:r w:rsidR="00661F74" w:rsidRPr="00B92499">
              <w:rPr>
                <w:rFonts w:cstheme="minorBidi"/>
                <w:noProof/>
                <w:sz w:val="24"/>
                <w:szCs w:val="24"/>
              </w:rPr>
              <w:tab/>
            </w:r>
            <w:r w:rsidR="00661F74" w:rsidRPr="00B92499">
              <w:rPr>
                <w:rStyle w:val="Hipervnculo"/>
                <w:rFonts w:ascii="Arial" w:hAnsi="Arial" w:cs="Arial"/>
                <w:b/>
                <w:noProof/>
              </w:rPr>
              <w:t>Análisis del artículo 143</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_Toc23252991 \h </w:instrText>
            </w:r>
            <w:r w:rsidR="00661F74" w:rsidRPr="00B92499">
              <w:rPr>
                <w:noProof/>
                <w:webHidden/>
              </w:rPr>
            </w:r>
            <w:r w:rsidR="00661F74" w:rsidRPr="00B92499">
              <w:rPr>
                <w:noProof/>
                <w:webHidden/>
              </w:rPr>
              <w:fldChar w:fldCharType="separate"/>
            </w:r>
            <w:r w:rsidR="00661F74" w:rsidRPr="00B92499">
              <w:rPr>
                <w:noProof/>
                <w:webHidden/>
              </w:rPr>
              <w:t>55</w:t>
            </w:r>
            <w:r w:rsidR="00661F74" w:rsidRPr="00B92499">
              <w:rPr>
                <w:noProof/>
                <w:webHidden/>
              </w:rPr>
              <w:fldChar w:fldCharType="end"/>
            </w:r>
          </w:hyperlink>
        </w:p>
        <w:p w14:paraId="7DCDF880" w14:textId="63FA6E57" w:rsidR="00661F74" w:rsidRPr="00B92499" w:rsidRDefault="003B5C22">
          <w:pPr>
            <w:pStyle w:val="TDC3"/>
            <w:tabs>
              <w:tab w:val="left" w:pos="1320"/>
              <w:tab w:val="right" w:leader="dot" w:pos="8828"/>
            </w:tabs>
            <w:rPr>
              <w:rFonts w:cstheme="minorBidi"/>
              <w:noProof/>
              <w:sz w:val="24"/>
              <w:szCs w:val="24"/>
            </w:rPr>
          </w:pPr>
          <w:hyperlink w:anchor="_Toc23252992" w:history="1">
            <w:r w:rsidR="00661F74" w:rsidRPr="00B92499">
              <w:rPr>
                <w:rStyle w:val="Hipervnculo"/>
                <w:rFonts w:ascii="Arial" w:hAnsi="Arial" w:cs="Arial"/>
                <w:b/>
                <w:noProof/>
              </w:rPr>
              <w:t>1.4.6</w:t>
            </w:r>
            <w:r w:rsidR="00661F74" w:rsidRPr="00B92499">
              <w:rPr>
                <w:rFonts w:cstheme="minorBidi"/>
                <w:noProof/>
                <w:sz w:val="24"/>
                <w:szCs w:val="24"/>
              </w:rPr>
              <w:tab/>
            </w:r>
            <w:r w:rsidR="00661F74" w:rsidRPr="00B92499">
              <w:rPr>
                <w:rStyle w:val="Hipervnculo"/>
                <w:rFonts w:ascii="Arial" w:hAnsi="Arial" w:cs="Arial"/>
                <w:b/>
                <w:noProof/>
              </w:rPr>
              <w:t>Análisis del artículo 145</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_Toc23252992 \h </w:instrText>
            </w:r>
            <w:r w:rsidR="00661F74" w:rsidRPr="00B92499">
              <w:rPr>
                <w:noProof/>
                <w:webHidden/>
              </w:rPr>
            </w:r>
            <w:r w:rsidR="00661F74" w:rsidRPr="00B92499">
              <w:rPr>
                <w:noProof/>
                <w:webHidden/>
              </w:rPr>
              <w:fldChar w:fldCharType="separate"/>
            </w:r>
            <w:r w:rsidR="00661F74" w:rsidRPr="00B92499">
              <w:rPr>
                <w:noProof/>
                <w:webHidden/>
              </w:rPr>
              <w:t>55</w:t>
            </w:r>
            <w:r w:rsidR="00661F74" w:rsidRPr="00B92499">
              <w:rPr>
                <w:noProof/>
                <w:webHidden/>
              </w:rPr>
              <w:fldChar w:fldCharType="end"/>
            </w:r>
          </w:hyperlink>
        </w:p>
        <w:p w14:paraId="61C353F6" w14:textId="4135CEC4" w:rsidR="00661F74" w:rsidRPr="00B92499" w:rsidRDefault="003B5C22">
          <w:pPr>
            <w:pStyle w:val="TDC3"/>
            <w:tabs>
              <w:tab w:val="left" w:pos="1320"/>
              <w:tab w:val="right" w:leader="dot" w:pos="8828"/>
            </w:tabs>
            <w:rPr>
              <w:rFonts w:cstheme="minorBidi"/>
              <w:noProof/>
              <w:sz w:val="24"/>
              <w:szCs w:val="24"/>
            </w:rPr>
          </w:pPr>
          <w:hyperlink w:anchor="_Toc23252993" w:history="1">
            <w:r w:rsidR="00661F74" w:rsidRPr="00B92499">
              <w:rPr>
                <w:rStyle w:val="Hipervnculo"/>
                <w:rFonts w:ascii="Arial" w:hAnsi="Arial" w:cs="Arial"/>
                <w:b/>
                <w:noProof/>
              </w:rPr>
              <w:t>1.4.7</w:t>
            </w:r>
            <w:r w:rsidR="00661F74" w:rsidRPr="00B92499">
              <w:rPr>
                <w:rFonts w:cstheme="minorBidi"/>
                <w:noProof/>
                <w:sz w:val="24"/>
                <w:szCs w:val="24"/>
              </w:rPr>
              <w:tab/>
            </w:r>
            <w:r w:rsidR="00661F74" w:rsidRPr="00B92499">
              <w:rPr>
                <w:rStyle w:val="Hipervnculo"/>
                <w:rFonts w:ascii="Arial" w:hAnsi="Arial" w:cs="Arial"/>
                <w:b/>
                <w:noProof/>
              </w:rPr>
              <w:t>Análisis del artículo 146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_Toc23252993 \h </w:instrText>
            </w:r>
            <w:r w:rsidR="00661F74" w:rsidRPr="00B92499">
              <w:rPr>
                <w:noProof/>
                <w:webHidden/>
              </w:rPr>
            </w:r>
            <w:r w:rsidR="00661F74" w:rsidRPr="00B92499">
              <w:rPr>
                <w:noProof/>
                <w:webHidden/>
              </w:rPr>
              <w:fldChar w:fldCharType="separate"/>
            </w:r>
            <w:r w:rsidR="00661F74" w:rsidRPr="00B92499">
              <w:rPr>
                <w:noProof/>
                <w:webHidden/>
              </w:rPr>
              <w:t>55</w:t>
            </w:r>
            <w:r w:rsidR="00661F74" w:rsidRPr="00B92499">
              <w:rPr>
                <w:noProof/>
                <w:webHidden/>
              </w:rPr>
              <w:fldChar w:fldCharType="end"/>
            </w:r>
          </w:hyperlink>
        </w:p>
        <w:p w14:paraId="1D79022D" w14:textId="5BBFCFB6" w:rsidR="00661F74" w:rsidRPr="00B92499" w:rsidRDefault="003B5C22">
          <w:pPr>
            <w:pStyle w:val="TDC3"/>
            <w:tabs>
              <w:tab w:val="left" w:pos="1320"/>
              <w:tab w:val="right" w:leader="dot" w:pos="8828"/>
            </w:tabs>
            <w:rPr>
              <w:rFonts w:cstheme="minorBidi"/>
              <w:noProof/>
              <w:sz w:val="24"/>
              <w:szCs w:val="24"/>
            </w:rPr>
          </w:pPr>
          <w:hyperlink w:anchor="_Toc23252994" w:history="1">
            <w:r w:rsidR="00661F74" w:rsidRPr="00B92499">
              <w:rPr>
                <w:rStyle w:val="Hipervnculo"/>
                <w:rFonts w:ascii="Arial" w:hAnsi="Arial" w:cs="Arial"/>
                <w:b/>
                <w:noProof/>
              </w:rPr>
              <w:t>1.4.8</w:t>
            </w:r>
            <w:r w:rsidR="00661F74" w:rsidRPr="00B92499">
              <w:rPr>
                <w:rFonts w:cstheme="minorBidi"/>
                <w:noProof/>
                <w:sz w:val="24"/>
                <w:szCs w:val="24"/>
              </w:rPr>
              <w:tab/>
            </w:r>
            <w:r w:rsidR="00661F74" w:rsidRPr="00B92499">
              <w:rPr>
                <w:rStyle w:val="Hipervnculo"/>
                <w:rFonts w:ascii="Arial" w:hAnsi="Arial" w:cs="Arial"/>
                <w:b/>
                <w:noProof/>
              </w:rPr>
              <w:t>Análisis del artículo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_Toc23252994 \h </w:instrText>
            </w:r>
            <w:r w:rsidR="00661F74" w:rsidRPr="00B92499">
              <w:rPr>
                <w:noProof/>
                <w:webHidden/>
              </w:rPr>
            </w:r>
            <w:r w:rsidR="00661F74" w:rsidRPr="00B92499">
              <w:rPr>
                <w:noProof/>
                <w:webHidden/>
              </w:rPr>
              <w:fldChar w:fldCharType="separate"/>
            </w:r>
            <w:r w:rsidR="00661F74" w:rsidRPr="00B92499">
              <w:rPr>
                <w:noProof/>
                <w:webHidden/>
              </w:rPr>
              <w:t>55</w:t>
            </w:r>
            <w:r w:rsidR="00661F74" w:rsidRPr="00B92499">
              <w:rPr>
                <w:noProof/>
                <w:webHidden/>
              </w:rPr>
              <w:fldChar w:fldCharType="end"/>
            </w:r>
          </w:hyperlink>
        </w:p>
        <w:p w14:paraId="46552AD9" w14:textId="04D0E6E9" w:rsidR="00661F74" w:rsidRPr="00B92499" w:rsidRDefault="003B5C22">
          <w:pPr>
            <w:pStyle w:val="TDC1"/>
            <w:tabs>
              <w:tab w:val="left" w:pos="440"/>
              <w:tab w:val="right" w:leader="dot" w:pos="8828"/>
            </w:tabs>
            <w:rPr>
              <w:rFonts w:cstheme="minorBidi"/>
              <w:noProof/>
              <w:sz w:val="24"/>
              <w:szCs w:val="24"/>
            </w:rPr>
          </w:pPr>
          <w:hyperlink w:anchor="_Toc23252995" w:history="1">
            <w:r w:rsidR="00661F74" w:rsidRPr="00B92499">
              <w:rPr>
                <w:rStyle w:val="Hipervnculo"/>
                <w:rFonts w:ascii="Arial" w:hAnsi="Arial" w:cs="Arial"/>
                <w:b/>
                <w:noProof/>
              </w:rPr>
              <w:t>2.</w:t>
            </w:r>
            <w:r w:rsidR="00661F74" w:rsidRPr="00B92499">
              <w:rPr>
                <w:rFonts w:cstheme="minorBidi"/>
                <w:noProof/>
                <w:sz w:val="24"/>
                <w:szCs w:val="24"/>
              </w:rPr>
              <w:tab/>
            </w:r>
            <w:r w:rsidR="00661F74" w:rsidRPr="00B92499">
              <w:rPr>
                <w:rStyle w:val="Hipervnculo"/>
                <w:rFonts w:ascii="Arial" w:hAnsi="Arial" w:cs="Arial"/>
                <w:b/>
                <w:noProof/>
              </w:rPr>
              <w:t>PODER LEGISLATIVO</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_Toc23252995 \h </w:instrText>
            </w:r>
            <w:r w:rsidR="00661F74" w:rsidRPr="00B92499">
              <w:rPr>
                <w:noProof/>
                <w:webHidden/>
              </w:rPr>
            </w:r>
            <w:r w:rsidR="00661F74" w:rsidRPr="00B92499">
              <w:rPr>
                <w:noProof/>
                <w:webHidden/>
              </w:rPr>
              <w:fldChar w:fldCharType="separate"/>
            </w:r>
            <w:r w:rsidR="00661F74" w:rsidRPr="00B92499">
              <w:rPr>
                <w:noProof/>
                <w:webHidden/>
              </w:rPr>
              <w:t>57</w:t>
            </w:r>
            <w:r w:rsidR="00661F74" w:rsidRPr="00B92499">
              <w:rPr>
                <w:noProof/>
                <w:webHidden/>
              </w:rPr>
              <w:fldChar w:fldCharType="end"/>
            </w:r>
          </w:hyperlink>
        </w:p>
        <w:p w14:paraId="4C59B101" w14:textId="29DDC4D7" w:rsidR="00661F74" w:rsidRPr="00B92499" w:rsidRDefault="003B5C22">
          <w:pPr>
            <w:pStyle w:val="TDC2"/>
            <w:tabs>
              <w:tab w:val="left" w:pos="880"/>
              <w:tab w:val="right" w:leader="dot" w:pos="8828"/>
            </w:tabs>
            <w:rPr>
              <w:rFonts w:cstheme="minorBidi"/>
              <w:noProof/>
              <w:sz w:val="24"/>
              <w:szCs w:val="24"/>
            </w:rPr>
          </w:pPr>
          <w:hyperlink w:anchor="_Toc23252996" w:history="1">
            <w:r w:rsidR="00661F74" w:rsidRPr="00B92499">
              <w:rPr>
                <w:rStyle w:val="Hipervnculo"/>
                <w:rFonts w:ascii="Arial" w:hAnsi="Arial" w:cs="Arial"/>
                <w:b/>
                <w:noProof/>
              </w:rPr>
              <w:t>2.1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los Sindicatos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_Toc23252996 \h </w:instrText>
            </w:r>
            <w:r w:rsidR="00661F74" w:rsidRPr="00B92499">
              <w:rPr>
                <w:noProof/>
                <w:webHidden/>
              </w:rPr>
            </w:r>
            <w:r w:rsidR="00661F74" w:rsidRPr="00B92499">
              <w:rPr>
                <w:noProof/>
                <w:webHidden/>
              </w:rPr>
              <w:fldChar w:fldCharType="separate"/>
            </w:r>
            <w:r w:rsidR="00661F74" w:rsidRPr="00B92499">
              <w:rPr>
                <w:noProof/>
                <w:webHidden/>
              </w:rPr>
              <w:t>58</w:t>
            </w:r>
            <w:r w:rsidR="00661F74" w:rsidRPr="00B92499">
              <w:rPr>
                <w:noProof/>
                <w:webHidden/>
              </w:rPr>
              <w:fldChar w:fldCharType="end"/>
            </w:r>
          </w:hyperlink>
        </w:p>
        <w:p w14:paraId="27E85BF7" w14:textId="7BC4764E" w:rsidR="00661F74" w:rsidRPr="00B92499" w:rsidRDefault="003B5C22">
          <w:pPr>
            <w:pStyle w:val="TDC2"/>
            <w:tabs>
              <w:tab w:val="left" w:pos="880"/>
              <w:tab w:val="right" w:leader="dot" w:pos="8828"/>
            </w:tabs>
            <w:rPr>
              <w:rFonts w:cstheme="minorBidi"/>
              <w:noProof/>
              <w:sz w:val="24"/>
              <w:szCs w:val="24"/>
            </w:rPr>
          </w:pPr>
          <w:hyperlink w:anchor="_Toc23252997" w:history="1">
            <w:r w:rsidR="00661F74" w:rsidRPr="00B92499">
              <w:rPr>
                <w:rStyle w:val="Hipervnculo"/>
                <w:rFonts w:ascii="Arial" w:hAnsi="Arial" w:cs="Arial"/>
                <w:b/>
                <w:noProof/>
              </w:rPr>
              <w:t>2.2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_Toc23252997 \h </w:instrText>
            </w:r>
            <w:r w:rsidR="00661F74" w:rsidRPr="00B92499">
              <w:rPr>
                <w:noProof/>
                <w:webHidden/>
              </w:rPr>
            </w:r>
            <w:r w:rsidR="00661F74" w:rsidRPr="00B92499">
              <w:rPr>
                <w:noProof/>
                <w:webHidden/>
              </w:rPr>
              <w:fldChar w:fldCharType="separate"/>
            </w:r>
            <w:r w:rsidR="00661F74" w:rsidRPr="00B92499">
              <w:rPr>
                <w:noProof/>
                <w:webHidden/>
              </w:rPr>
              <w:t>59</w:t>
            </w:r>
            <w:r w:rsidR="00661F74" w:rsidRPr="00B92499">
              <w:rPr>
                <w:noProof/>
                <w:webHidden/>
              </w:rPr>
              <w:fldChar w:fldCharType="end"/>
            </w:r>
          </w:hyperlink>
        </w:p>
        <w:p w14:paraId="181CDC17" w14:textId="5D730E81" w:rsidR="00661F74" w:rsidRPr="00B92499" w:rsidRDefault="003B5C22">
          <w:pPr>
            <w:pStyle w:val="TDC2"/>
            <w:tabs>
              <w:tab w:val="left" w:pos="880"/>
              <w:tab w:val="right" w:leader="dot" w:pos="8828"/>
            </w:tabs>
            <w:rPr>
              <w:rFonts w:cstheme="minorBidi"/>
              <w:noProof/>
              <w:sz w:val="24"/>
              <w:szCs w:val="24"/>
            </w:rPr>
          </w:pPr>
          <w:hyperlink w:anchor="_Toc23252998" w:history="1">
            <w:r w:rsidR="00661F74" w:rsidRPr="00B92499">
              <w:rPr>
                <w:rStyle w:val="Hipervnculo"/>
                <w:rFonts w:ascii="Arial" w:hAnsi="Arial" w:cs="Arial"/>
                <w:b/>
                <w:noProof/>
              </w:rPr>
              <w:t>2.3</w:t>
            </w:r>
            <w:r w:rsidR="00661F74" w:rsidRPr="00B92499">
              <w:rPr>
                <w:rFonts w:cstheme="minorBidi"/>
                <w:noProof/>
                <w:sz w:val="24"/>
                <w:szCs w:val="24"/>
              </w:rPr>
              <w:tab/>
            </w:r>
            <w:r w:rsidR="00661F74" w:rsidRPr="00B92499">
              <w:rPr>
                <w:rStyle w:val="Hipervnculo"/>
                <w:rFonts w:ascii="Arial" w:hAnsi="Arial" w:cs="Arial"/>
                <w:b/>
                <w:noProof/>
              </w:rPr>
              <w:t>Análisis del artículo 125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_Toc23252998 \h </w:instrText>
            </w:r>
            <w:r w:rsidR="00661F74" w:rsidRPr="00B92499">
              <w:rPr>
                <w:noProof/>
                <w:webHidden/>
              </w:rPr>
            </w:r>
            <w:r w:rsidR="00661F74" w:rsidRPr="00B92499">
              <w:rPr>
                <w:noProof/>
                <w:webHidden/>
              </w:rPr>
              <w:fldChar w:fldCharType="separate"/>
            </w:r>
            <w:r w:rsidR="00661F74" w:rsidRPr="00B92499">
              <w:rPr>
                <w:noProof/>
                <w:webHidden/>
              </w:rPr>
              <w:t>62</w:t>
            </w:r>
            <w:r w:rsidR="00661F74" w:rsidRPr="00B92499">
              <w:rPr>
                <w:noProof/>
                <w:webHidden/>
              </w:rPr>
              <w:fldChar w:fldCharType="end"/>
            </w:r>
          </w:hyperlink>
        </w:p>
        <w:p w14:paraId="26340B2A" w14:textId="0240FD92" w:rsidR="00661F74" w:rsidRPr="00B92499" w:rsidRDefault="003B5C22">
          <w:pPr>
            <w:pStyle w:val="TDC2"/>
            <w:tabs>
              <w:tab w:val="left" w:pos="880"/>
              <w:tab w:val="right" w:leader="dot" w:pos="8828"/>
            </w:tabs>
            <w:rPr>
              <w:rFonts w:cstheme="minorBidi"/>
              <w:noProof/>
              <w:sz w:val="24"/>
              <w:szCs w:val="24"/>
            </w:rPr>
          </w:pPr>
          <w:hyperlink w:anchor="_Toc23252999" w:history="1">
            <w:r w:rsidR="00661F74" w:rsidRPr="00B92499">
              <w:rPr>
                <w:rStyle w:val="Hipervnculo"/>
                <w:rFonts w:ascii="Arial" w:hAnsi="Arial" w:cs="Arial"/>
                <w:b/>
                <w:noProof/>
              </w:rPr>
              <w:t>2.4</w:t>
            </w:r>
            <w:r w:rsidR="00661F74" w:rsidRPr="00B92499">
              <w:rPr>
                <w:rFonts w:cstheme="minorBidi"/>
                <w:noProof/>
                <w:sz w:val="24"/>
                <w:szCs w:val="24"/>
              </w:rPr>
              <w:tab/>
            </w:r>
            <w:r w:rsidR="00661F74" w:rsidRPr="00B92499">
              <w:rPr>
                <w:rStyle w:val="Hipervnculo"/>
                <w:rFonts w:ascii="Arial" w:hAnsi="Arial" w:cs="Arial"/>
                <w:b/>
                <w:noProof/>
              </w:rPr>
              <w:t>Análisis de los artículos 145 y 146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_Toc23252999 \h </w:instrText>
            </w:r>
            <w:r w:rsidR="00661F74" w:rsidRPr="00B92499">
              <w:rPr>
                <w:noProof/>
                <w:webHidden/>
              </w:rPr>
            </w:r>
            <w:r w:rsidR="00661F74" w:rsidRPr="00B92499">
              <w:rPr>
                <w:noProof/>
                <w:webHidden/>
              </w:rPr>
              <w:fldChar w:fldCharType="separate"/>
            </w:r>
            <w:r w:rsidR="00661F74" w:rsidRPr="00B92499">
              <w:rPr>
                <w:noProof/>
                <w:webHidden/>
              </w:rPr>
              <w:t>65</w:t>
            </w:r>
            <w:r w:rsidR="00661F74" w:rsidRPr="00B92499">
              <w:rPr>
                <w:noProof/>
                <w:webHidden/>
              </w:rPr>
              <w:fldChar w:fldCharType="end"/>
            </w:r>
          </w:hyperlink>
        </w:p>
        <w:p w14:paraId="359D1590" w14:textId="1C6C57A3" w:rsidR="00661F74" w:rsidRPr="00B92499" w:rsidRDefault="003B5C22">
          <w:pPr>
            <w:pStyle w:val="TDC2"/>
            <w:tabs>
              <w:tab w:val="left" w:pos="880"/>
              <w:tab w:val="right" w:leader="dot" w:pos="8828"/>
            </w:tabs>
            <w:rPr>
              <w:rFonts w:cstheme="minorBidi"/>
              <w:noProof/>
              <w:sz w:val="24"/>
              <w:szCs w:val="24"/>
            </w:rPr>
          </w:pPr>
          <w:hyperlink w:anchor="_Toc23253000" w:history="1">
            <w:r w:rsidR="00661F74" w:rsidRPr="00B92499">
              <w:rPr>
                <w:rStyle w:val="Hipervnculo"/>
                <w:rFonts w:ascii="Arial" w:hAnsi="Arial" w:cs="Arial"/>
                <w:b/>
                <w:noProof/>
              </w:rPr>
              <w:t>2.5</w:t>
            </w:r>
            <w:r w:rsidR="00661F74" w:rsidRPr="00B92499">
              <w:rPr>
                <w:rFonts w:cstheme="minorBidi"/>
                <w:noProof/>
                <w:sz w:val="24"/>
                <w:szCs w:val="24"/>
              </w:rPr>
              <w:tab/>
            </w:r>
            <w:r w:rsidR="00661F74" w:rsidRPr="00B92499">
              <w:rPr>
                <w:rStyle w:val="Hipervnculo"/>
                <w:rFonts w:ascii="Arial" w:hAnsi="Arial" w:cs="Arial"/>
                <w:b/>
                <w:noProof/>
              </w:rPr>
              <w:t>Análisis del artículo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_Toc23253000 \h </w:instrText>
            </w:r>
            <w:r w:rsidR="00661F74" w:rsidRPr="00B92499">
              <w:rPr>
                <w:noProof/>
                <w:webHidden/>
              </w:rPr>
            </w:r>
            <w:r w:rsidR="00661F74" w:rsidRPr="00B92499">
              <w:rPr>
                <w:noProof/>
                <w:webHidden/>
              </w:rPr>
              <w:fldChar w:fldCharType="separate"/>
            </w:r>
            <w:r w:rsidR="00661F74" w:rsidRPr="00B92499">
              <w:rPr>
                <w:noProof/>
                <w:webHidden/>
              </w:rPr>
              <w:t>65</w:t>
            </w:r>
            <w:r w:rsidR="00661F74" w:rsidRPr="00B92499">
              <w:rPr>
                <w:noProof/>
                <w:webHidden/>
              </w:rPr>
              <w:fldChar w:fldCharType="end"/>
            </w:r>
          </w:hyperlink>
        </w:p>
        <w:p w14:paraId="6650FDD7" w14:textId="334FE8B6" w:rsidR="00661F74" w:rsidRPr="00B92499" w:rsidRDefault="003B5C22">
          <w:pPr>
            <w:pStyle w:val="TDC1"/>
            <w:tabs>
              <w:tab w:val="left" w:pos="440"/>
              <w:tab w:val="right" w:leader="dot" w:pos="8828"/>
            </w:tabs>
            <w:rPr>
              <w:rFonts w:cstheme="minorBidi"/>
              <w:noProof/>
              <w:sz w:val="24"/>
              <w:szCs w:val="24"/>
            </w:rPr>
          </w:pPr>
          <w:hyperlink w:anchor="_Toc23253001" w:history="1">
            <w:r w:rsidR="00661F74" w:rsidRPr="00B92499">
              <w:rPr>
                <w:rStyle w:val="Hipervnculo"/>
                <w:rFonts w:ascii="Arial" w:hAnsi="Arial" w:cs="Arial"/>
                <w:b/>
                <w:noProof/>
              </w:rPr>
              <w:t>3.</w:t>
            </w:r>
            <w:r w:rsidR="00661F74" w:rsidRPr="00B92499">
              <w:rPr>
                <w:rFonts w:cstheme="minorBidi"/>
                <w:noProof/>
                <w:sz w:val="24"/>
                <w:szCs w:val="24"/>
              </w:rPr>
              <w:tab/>
            </w:r>
            <w:r w:rsidR="00661F74" w:rsidRPr="00B92499">
              <w:rPr>
                <w:rStyle w:val="Hipervnculo"/>
                <w:rFonts w:ascii="Arial" w:hAnsi="Arial" w:cs="Arial"/>
                <w:b/>
                <w:noProof/>
              </w:rPr>
              <w:t>ÓRGANOS AUTÓNOMOS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_Toc23253001 \h </w:instrText>
            </w:r>
            <w:r w:rsidR="00661F74" w:rsidRPr="00B92499">
              <w:rPr>
                <w:noProof/>
                <w:webHidden/>
              </w:rPr>
            </w:r>
            <w:r w:rsidR="00661F74" w:rsidRPr="00B92499">
              <w:rPr>
                <w:noProof/>
                <w:webHidden/>
              </w:rPr>
              <w:fldChar w:fldCharType="separate"/>
            </w:r>
            <w:r w:rsidR="00661F74" w:rsidRPr="00B92499">
              <w:rPr>
                <w:noProof/>
                <w:webHidden/>
              </w:rPr>
              <w:t>66</w:t>
            </w:r>
            <w:r w:rsidR="00661F74" w:rsidRPr="00B92499">
              <w:rPr>
                <w:noProof/>
                <w:webHidden/>
              </w:rPr>
              <w:fldChar w:fldCharType="end"/>
            </w:r>
          </w:hyperlink>
        </w:p>
        <w:p w14:paraId="4C271AB7" w14:textId="4C897D81" w:rsidR="00661F74" w:rsidRPr="00B92499" w:rsidRDefault="003B5C22">
          <w:pPr>
            <w:pStyle w:val="TDC2"/>
            <w:tabs>
              <w:tab w:val="left" w:pos="880"/>
              <w:tab w:val="right" w:leader="dot" w:pos="8828"/>
            </w:tabs>
            <w:rPr>
              <w:rFonts w:cstheme="minorBidi"/>
              <w:noProof/>
              <w:sz w:val="24"/>
              <w:szCs w:val="24"/>
            </w:rPr>
          </w:pPr>
          <w:hyperlink w:anchor="_Toc23253002" w:history="1">
            <w:r w:rsidR="00661F74" w:rsidRPr="00B92499">
              <w:rPr>
                <w:rStyle w:val="Hipervnculo"/>
                <w:rFonts w:ascii="Arial" w:hAnsi="Arial" w:cs="Arial"/>
                <w:b/>
                <w:noProof/>
              </w:rPr>
              <w:t>3.1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los Órganos Autónomos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_Toc23253002 \h </w:instrText>
            </w:r>
            <w:r w:rsidR="00661F74" w:rsidRPr="00B92499">
              <w:rPr>
                <w:noProof/>
                <w:webHidden/>
              </w:rPr>
            </w:r>
            <w:r w:rsidR="00661F74" w:rsidRPr="00B92499">
              <w:rPr>
                <w:noProof/>
                <w:webHidden/>
              </w:rPr>
              <w:fldChar w:fldCharType="separate"/>
            </w:r>
            <w:r w:rsidR="00661F74" w:rsidRPr="00B92499">
              <w:rPr>
                <w:noProof/>
                <w:webHidden/>
              </w:rPr>
              <w:t>67</w:t>
            </w:r>
            <w:r w:rsidR="00661F74" w:rsidRPr="00B92499">
              <w:rPr>
                <w:noProof/>
                <w:webHidden/>
              </w:rPr>
              <w:fldChar w:fldCharType="end"/>
            </w:r>
          </w:hyperlink>
        </w:p>
        <w:p w14:paraId="1338B0C1" w14:textId="19C8DBFA" w:rsidR="00661F74" w:rsidRPr="00B92499" w:rsidRDefault="003B5C22">
          <w:pPr>
            <w:pStyle w:val="TDC2"/>
            <w:tabs>
              <w:tab w:val="left" w:pos="880"/>
              <w:tab w:val="right" w:leader="dot" w:pos="8828"/>
            </w:tabs>
            <w:rPr>
              <w:rFonts w:cstheme="minorBidi"/>
              <w:noProof/>
              <w:sz w:val="24"/>
              <w:szCs w:val="24"/>
            </w:rPr>
          </w:pPr>
          <w:hyperlink w:anchor="_Toc23253003" w:history="1">
            <w:r w:rsidR="00661F74" w:rsidRPr="00B92499">
              <w:rPr>
                <w:rStyle w:val="Hipervnculo"/>
                <w:rFonts w:ascii="Arial" w:hAnsi="Arial" w:cs="Arial"/>
                <w:b/>
                <w:noProof/>
              </w:rPr>
              <w:t>3.2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_Toc23253003 \h </w:instrText>
            </w:r>
            <w:r w:rsidR="00661F74" w:rsidRPr="00B92499">
              <w:rPr>
                <w:noProof/>
                <w:webHidden/>
              </w:rPr>
            </w:r>
            <w:r w:rsidR="00661F74" w:rsidRPr="00B92499">
              <w:rPr>
                <w:noProof/>
                <w:webHidden/>
              </w:rPr>
              <w:fldChar w:fldCharType="separate"/>
            </w:r>
            <w:r w:rsidR="00661F74" w:rsidRPr="00B92499">
              <w:rPr>
                <w:noProof/>
                <w:webHidden/>
              </w:rPr>
              <w:t>68</w:t>
            </w:r>
            <w:r w:rsidR="00661F74" w:rsidRPr="00B92499">
              <w:rPr>
                <w:noProof/>
                <w:webHidden/>
              </w:rPr>
              <w:fldChar w:fldCharType="end"/>
            </w:r>
          </w:hyperlink>
        </w:p>
        <w:p w14:paraId="00E1A087" w14:textId="5F7141EE" w:rsidR="00661F74" w:rsidRPr="00B92499" w:rsidRDefault="003B5C22">
          <w:pPr>
            <w:pStyle w:val="TDC2"/>
            <w:tabs>
              <w:tab w:val="left" w:pos="880"/>
              <w:tab w:val="right" w:leader="dot" w:pos="8828"/>
            </w:tabs>
            <w:rPr>
              <w:rFonts w:cstheme="minorBidi"/>
              <w:noProof/>
              <w:sz w:val="24"/>
              <w:szCs w:val="24"/>
            </w:rPr>
          </w:pPr>
          <w:hyperlink w:anchor="_Toc23253004" w:history="1">
            <w:r w:rsidR="00661F74" w:rsidRPr="00B92499">
              <w:rPr>
                <w:rStyle w:val="Hipervnculo"/>
                <w:rFonts w:ascii="Arial" w:hAnsi="Arial" w:cs="Arial"/>
                <w:b/>
                <w:noProof/>
              </w:rPr>
              <w:t>3.3</w:t>
            </w:r>
            <w:r w:rsidR="00661F74" w:rsidRPr="00B92499">
              <w:rPr>
                <w:rFonts w:cstheme="minorBidi"/>
                <w:noProof/>
                <w:sz w:val="24"/>
                <w:szCs w:val="24"/>
              </w:rPr>
              <w:tab/>
            </w:r>
            <w:r w:rsidR="00661F74" w:rsidRPr="00B92499">
              <w:rPr>
                <w:rStyle w:val="Hipervnculo"/>
                <w:rFonts w:ascii="Arial" w:hAnsi="Arial" w:cs="Arial"/>
                <w:b/>
                <w:noProof/>
              </w:rPr>
              <w:t>Análisis del artículo 133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_Toc23253004 \h </w:instrText>
            </w:r>
            <w:r w:rsidR="00661F74" w:rsidRPr="00B92499">
              <w:rPr>
                <w:noProof/>
                <w:webHidden/>
              </w:rPr>
            </w:r>
            <w:r w:rsidR="00661F74" w:rsidRPr="00B92499">
              <w:rPr>
                <w:noProof/>
                <w:webHidden/>
              </w:rPr>
              <w:fldChar w:fldCharType="separate"/>
            </w:r>
            <w:r w:rsidR="00661F74" w:rsidRPr="00B92499">
              <w:rPr>
                <w:noProof/>
                <w:webHidden/>
              </w:rPr>
              <w:t>71</w:t>
            </w:r>
            <w:r w:rsidR="00661F74" w:rsidRPr="00B92499">
              <w:rPr>
                <w:noProof/>
                <w:webHidden/>
              </w:rPr>
              <w:fldChar w:fldCharType="end"/>
            </w:r>
          </w:hyperlink>
        </w:p>
        <w:p w14:paraId="6AD8084C" w14:textId="3DF0F959" w:rsidR="00661F74" w:rsidRPr="00B92499" w:rsidRDefault="003B5C22">
          <w:pPr>
            <w:pStyle w:val="TDC2"/>
            <w:tabs>
              <w:tab w:val="left" w:pos="880"/>
              <w:tab w:val="right" w:leader="dot" w:pos="8828"/>
            </w:tabs>
            <w:rPr>
              <w:rFonts w:cstheme="minorBidi"/>
              <w:noProof/>
              <w:sz w:val="24"/>
              <w:szCs w:val="24"/>
            </w:rPr>
          </w:pPr>
          <w:hyperlink w:anchor="_Toc23253005" w:history="1">
            <w:r w:rsidR="00661F74" w:rsidRPr="00B92499">
              <w:rPr>
                <w:rStyle w:val="Hipervnculo"/>
                <w:rFonts w:ascii="Arial" w:hAnsi="Arial" w:cs="Arial"/>
                <w:b/>
                <w:noProof/>
              </w:rPr>
              <w:t>3.4</w:t>
            </w:r>
            <w:r w:rsidR="00661F74" w:rsidRPr="00B92499">
              <w:rPr>
                <w:rFonts w:cstheme="minorBidi"/>
                <w:noProof/>
                <w:sz w:val="24"/>
                <w:szCs w:val="24"/>
              </w:rPr>
              <w:tab/>
            </w:r>
            <w:r w:rsidR="00661F74" w:rsidRPr="00B92499">
              <w:rPr>
                <w:rStyle w:val="Hipervnculo"/>
                <w:rFonts w:ascii="Arial" w:hAnsi="Arial" w:cs="Arial"/>
                <w:b/>
                <w:noProof/>
              </w:rPr>
              <w:t>Análisis del artículo 145, 146 y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_Toc23253005 \h </w:instrText>
            </w:r>
            <w:r w:rsidR="00661F74" w:rsidRPr="00B92499">
              <w:rPr>
                <w:noProof/>
                <w:webHidden/>
              </w:rPr>
            </w:r>
            <w:r w:rsidR="00661F74" w:rsidRPr="00B92499">
              <w:rPr>
                <w:noProof/>
                <w:webHidden/>
              </w:rPr>
              <w:fldChar w:fldCharType="separate"/>
            </w:r>
            <w:r w:rsidR="00661F74" w:rsidRPr="00B92499">
              <w:rPr>
                <w:noProof/>
                <w:webHidden/>
              </w:rPr>
              <w:t>72</w:t>
            </w:r>
            <w:r w:rsidR="00661F74" w:rsidRPr="00B92499">
              <w:rPr>
                <w:noProof/>
                <w:webHidden/>
              </w:rPr>
              <w:fldChar w:fldCharType="end"/>
            </w:r>
          </w:hyperlink>
        </w:p>
        <w:p w14:paraId="7CC340B8" w14:textId="27B3DB2D" w:rsidR="00661F74" w:rsidRPr="00B92499" w:rsidRDefault="003B5C22">
          <w:pPr>
            <w:pStyle w:val="TDC1"/>
            <w:tabs>
              <w:tab w:val="left" w:pos="440"/>
              <w:tab w:val="right" w:leader="dot" w:pos="8828"/>
            </w:tabs>
            <w:rPr>
              <w:rFonts w:cstheme="minorBidi"/>
              <w:noProof/>
              <w:sz w:val="24"/>
              <w:szCs w:val="24"/>
            </w:rPr>
          </w:pPr>
          <w:hyperlink w:anchor="_Toc23253006" w:history="1">
            <w:r w:rsidR="00661F74" w:rsidRPr="00B92499">
              <w:rPr>
                <w:rStyle w:val="Hipervnculo"/>
                <w:rFonts w:ascii="Arial" w:hAnsi="Arial" w:cs="Arial"/>
                <w:b/>
                <w:noProof/>
              </w:rPr>
              <w:t>4.</w:t>
            </w:r>
            <w:r w:rsidR="00661F74" w:rsidRPr="00B92499">
              <w:rPr>
                <w:rFonts w:cstheme="minorBidi"/>
                <w:noProof/>
                <w:sz w:val="24"/>
                <w:szCs w:val="24"/>
              </w:rPr>
              <w:tab/>
            </w:r>
            <w:r w:rsidR="00661F74" w:rsidRPr="00B92499">
              <w:rPr>
                <w:rStyle w:val="Hipervnculo"/>
                <w:rFonts w:ascii="Arial" w:hAnsi="Arial" w:cs="Arial"/>
                <w:b/>
                <w:noProof/>
              </w:rPr>
              <w:t>SINDICATOS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_Toc23253006 \h </w:instrText>
            </w:r>
            <w:r w:rsidR="00661F74" w:rsidRPr="00B92499">
              <w:rPr>
                <w:noProof/>
                <w:webHidden/>
              </w:rPr>
            </w:r>
            <w:r w:rsidR="00661F74" w:rsidRPr="00B92499">
              <w:rPr>
                <w:noProof/>
                <w:webHidden/>
              </w:rPr>
              <w:fldChar w:fldCharType="separate"/>
            </w:r>
            <w:r w:rsidR="00661F74" w:rsidRPr="00B92499">
              <w:rPr>
                <w:noProof/>
                <w:webHidden/>
              </w:rPr>
              <w:t>73</w:t>
            </w:r>
            <w:r w:rsidR="00661F74" w:rsidRPr="00B92499">
              <w:rPr>
                <w:noProof/>
                <w:webHidden/>
              </w:rPr>
              <w:fldChar w:fldCharType="end"/>
            </w:r>
          </w:hyperlink>
        </w:p>
        <w:p w14:paraId="6996DAFC" w14:textId="304F94A6" w:rsidR="00661F74" w:rsidRPr="00B92499" w:rsidRDefault="003B5C22">
          <w:pPr>
            <w:pStyle w:val="TDC2"/>
            <w:tabs>
              <w:tab w:val="left" w:pos="880"/>
              <w:tab w:val="right" w:leader="dot" w:pos="8828"/>
            </w:tabs>
            <w:rPr>
              <w:rFonts w:cstheme="minorBidi"/>
              <w:noProof/>
              <w:sz w:val="24"/>
              <w:szCs w:val="24"/>
            </w:rPr>
          </w:pPr>
          <w:hyperlink w:anchor="_Toc23253007" w:history="1">
            <w:r w:rsidR="00661F74" w:rsidRPr="00B92499">
              <w:rPr>
                <w:rStyle w:val="Hipervnculo"/>
                <w:rFonts w:ascii="Arial" w:hAnsi="Arial" w:cs="Arial"/>
                <w:b/>
                <w:noProof/>
              </w:rPr>
              <w:t>4.1</w:t>
            </w:r>
            <w:r w:rsidR="00661F74" w:rsidRPr="00B92499">
              <w:rPr>
                <w:rFonts w:cstheme="minorBidi"/>
                <w:noProof/>
                <w:sz w:val="24"/>
                <w:szCs w:val="24"/>
              </w:rPr>
              <w:tab/>
            </w:r>
            <w:r w:rsidR="00661F74" w:rsidRPr="00B92499">
              <w:rPr>
                <w:rStyle w:val="Hipervnculo"/>
                <w:rFonts w:ascii="Arial" w:hAnsi="Arial" w:cs="Arial"/>
                <w:b/>
                <w:noProof/>
              </w:rPr>
              <w:t>Análisis global de cumplimiento de los Sindicatos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_Toc23253007 \h </w:instrText>
            </w:r>
            <w:r w:rsidR="00661F74" w:rsidRPr="00B92499">
              <w:rPr>
                <w:noProof/>
                <w:webHidden/>
              </w:rPr>
            </w:r>
            <w:r w:rsidR="00661F74" w:rsidRPr="00B92499">
              <w:rPr>
                <w:noProof/>
                <w:webHidden/>
              </w:rPr>
              <w:fldChar w:fldCharType="separate"/>
            </w:r>
            <w:r w:rsidR="00661F74" w:rsidRPr="00B92499">
              <w:rPr>
                <w:noProof/>
                <w:webHidden/>
              </w:rPr>
              <w:t>74</w:t>
            </w:r>
            <w:r w:rsidR="00661F74" w:rsidRPr="00B92499">
              <w:rPr>
                <w:noProof/>
                <w:webHidden/>
              </w:rPr>
              <w:fldChar w:fldCharType="end"/>
            </w:r>
          </w:hyperlink>
        </w:p>
        <w:p w14:paraId="5B5BF765" w14:textId="2C22231D" w:rsidR="00661F74" w:rsidRPr="00B92499" w:rsidRDefault="003B5C22">
          <w:pPr>
            <w:pStyle w:val="TDC2"/>
            <w:tabs>
              <w:tab w:val="left" w:pos="880"/>
              <w:tab w:val="right" w:leader="dot" w:pos="8828"/>
            </w:tabs>
            <w:rPr>
              <w:rFonts w:cstheme="minorBidi"/>
              <w:noProof/>
              <w:sz w:val="24"/>
              <w:szCs w:val="24"/>
            </w:rPr>
          </w:pPr>
          <w:hyperlink w:anchor="_Toc23253008" w:history="1">
            <w:r w:rsidR="00661F74" w:rsidRPr="00B92499">
              <w:rPr>
                <w:rStyle w:val="Hipervnculo"/>
                <w:rFonts w:ascii="Arial" w:hAnsi="Arial" w:cs="Arial"/>
                <w:b/>
                <w:noProof/>
              </w:rPr>
              <w:t>4.2</w:t>
            </w:r>
            <w:r w:rsidR="00661F74" w:rsidRPr="00B92499">
              <w:rPr>
                <w:rFonts w:cstheme="minorBidi"/>
                <w:noProof/>
                <w:sz w:val="24"/>
                <w:szCs w:val="24"/>
              </w:rPr>
              <w:tab/>
            </w:r>
            <w:r w:rsidR="00661F74" w:rsidRPr="00B92499">
              <w:rPr>
                <w:rStyle w:val="Hipervnculo"/>
                <w:rFonts w:ascii="Arial" w:hAnsi="Arial" w:cs="Arial"/>
                <w:b/>
                <w:noProof/>
              </w:rPr>
              <w:t>Análisis del artículo 121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_Toc23253008 \h </w:instrText>
            </w:r>
            <w:r w:rsidR="00661F74" w:rsidRPr="00B92499">
              <w:rPr>
                <w:noProof/>
                <w:webHidden/>
              </w:rPr>
            </w:r>
            <w:r w:rsidR="00661F74" w:rsidRPr="00B92499">
              <w:rPr>
                <w:noProof/>
                <w:webHidden/>
              </w:rPr>
              <w:fldChar w:fldCharType="separate"/>
            </w:r>
            <w:r w:rsidR="00661F74" w:rsidRPr="00B92499">
              <w:rPr>
                <w:noProof/>
                <w:webHidden/>
              </w:rPr>
              <w:t>75</w:t>
            </w:r>
            <w:r w:rsidR="00661F74" w:rsidRPr="00B92499">
              <w:rPr>
                <w:noProof/>
                <w:webHidden/>
              </w:rPr>
              <w:fldChar w:fldCharType="end"/>
            </w:r>
          </w:hyperlink>
        </w:p>
        <w:p w14:paraId="722ED593" w14:textId="755F5A10" w:rsidR="00661F74" w:rsidRPr="00B92499" w:rsidRDefault="003B5C22">
          <w:pPr>
            <w:pStyle w:val="TDC2"/>
            <w:tabs>
              <w:tab w:val="left" w:pos="880"/>
              <w:tab w:val="right" w:leader="dot" w:pos="8828"/>
            </w:tabs>
            <w:rPr>
              <w:rFonts w:cstheme="minorBidi"/>
              <w:noProof/>
              <w:sz w:val="24"/>
              <w:szCs w:val="24"/>
            </w:rPr>
          </w:pPr>
          <w:hyperlink w:anchor="_Toc23253009" w:history="1">
            <w:r w:rsidR="00661F74" w:rsidRPr="00B92499">
              <w:rPr>
                <w:rStyle w:val="Hipervnculo"/>
                <w:rFonts w:ascii="Arial" w:hAnsi="Arial" w:cs="Arial"/>
                <w:b/>
                <w:noProof/>
              </w:rPr>
              <w:t>4.3</w:t>
            </w:r>
            <w:r w:rsidR="00661F74" w:rsidRPr="00B92499">
              <w:rPr>
                <w:rFonts w:cstheme="minorBidi"/>
                <w:noProof/>
                <w:sz w:val="24"/>
                <w:szCs w:val="24"/>
              </w:rPr>
              <w:tab/>
            </w:r>
            <w:r w:rsidR="00661F74" w:rsidRPr="00B92499">
              <w:rPr>
                <w:rStyle w:val="Hipervnculo"/>
                <w:rFonts w:ascii="Arial" w:hAnsi="Arial" w:cs="Arial"/>
                <w:b/>
                <w:noProof/>
              </w:rPr>
              <w:t>Análisis del artículo 137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_Toc23253009 \h </w:instrText>
            </w:r>
            <w:r w:rsidR="00661F74" w:rsidRPr="00B92499">
              <w:rPr>
                <w:noProof/>
                <w:webHidden/>
              </w:rPr>
            </w:r>
            <w:r w:rsidR="00661F74" w:rsidRPr="00B92499">
              <w:rPr>
                <w:noProof/>
                <w:webHidden/>
              </w:rPr>
              <w:fldChar w:fldCharType="separate"/>
            </w:r>
            <w:r w:rsidR="00661F74" w:rsidRPr="00B92499">
              <w:rPr>
                <w:noProof/>
                <w:webHidden/>
              </w:rPr>
              <w:t>77</w:t>
            </w:r>
            <w:r w:rsidR="00661F74" w:rsidRPr="00B92499">
              <w:rPr>
                <w:noProof/>
                <w:webHidden/>
              </w:rPr>
              <w:fldChar w:fldCharType="end"/>
            </w:r>
          </w:hyperlink>
        </w:p>
        <w:p w14:paraId="09C45A39" w14:textId="68C089BD" w:rsidR="00661F74" w:rsidRPr="00B92499" w:rsidRDefault="003B5C22">
          <w:pPr>
            <w:pStyle w:val="TDC2"/>
            <w:tabs>
              <w:tab w:val="left" w:pos="880"/>
              <w:tab w:val="right" w:leader="dot" w:pos="8828"/>
            </w:tabs>
            <w:rPr>
              <w:rFonts w:cstheme="minorBidi"/>
              <w:noProof/>
              <w:sz w:val="24"/>
              <w:szCs w:val="24"/>
            </w:rPr>
          </w:pPr>
          <w:hyperlink w:anchor="_Toc23253010" w:history="1">
            <w:r w:rsidR="00661F74" w:rsidRPr="00B92499">
              <w:rPr>
                <w:rStyle w:val="Hipervnculo"/>
                <w:rFonts w:ascii="Arial" w:hAnsi="Arial" w:cs="Arial"/>
                <w:b/>
                <w:noProof/>
              </w:rPr>
              <w:t>4.4</w:t>
            </w:r>
            <w:r w:rsidR="00661F74" w:rsidRPr="00B92499">
              <w:rPr>
                <w:rFonts w:cstheme="minorBidi"/>
                <w:noProof/>
                <w:sz w:val="24"/>
                <w:szCs w:val="24"/>
              </w:rPr>
              <w:tab/>
            </w:r>
            <w:r w:rsidR="00661F74" w:rsidRPr="00B92499">
              <w:rPr>
                <w:rStyle w:val="Hipervnculo"/>
                <w:rFonts w:ascii="Arial" w:hAnsi="Arial" w:cs="Arial"/>
                <w:b/>
                <w:noProof/>
              </w:rPr>
              <w:t>Análisis del artículo 138 y sus respectivas fracciones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_Toc23253010 \h </w:instrText>
            </w:r>
            <w:r w:rsidR="00661F74" w:rsidRPr="00B92499">
              <w:rPr>
                <w:noProof/>
                <w:webHidden/>
              </w:rPr>
            </w:r>
            <w:r w:rsidR="00661F74" w:rsidRPr="00B92499">
              <w:rPr>
                <w:noProof/>
                <w:webHidden/>
              </w:rPr>
              <w:fldChar w:fldCharType="separate"/>
            </w:r>
            <w:r w:rsidR="00661F74" w:rsidRPr="00B92499">
              <w:rPr>
                <w:noProof/>
                <w:webHidden/>
              </w:rPr>
              <w:t>78</w:t>
            </w:r>
            <w:r w:rsidR="00661F74" w:rsidRPr="00B92499">
              <w:rPr>
                <w:noProof/>
                <w:webHidden/>
              </w:rPr>
              <w:fldChar w:fldCharType="end"/>
            </w:r>
          </w:hyperlink>
        </w:p>
        <w:p w14:paraId="4CC5ECE3" w14:textId="31F8E125" w:rsidR="00661F74" w:rsidRPr="00B92499" w:rsidRDefault="003B5C22">
          <w:pPr>
            <w:pStyle w:val="TDC2"/>
            <w:tabs>
              <w:tab w:val="left" w:pos="880"/>
              <w:tab w:val="right" w:leader="dot" w:pos="8828"/>
            </w:tabs>
            <w:rPr>
              <w:rFonts w:cstheme="minorBidi"/>
              <w:noProof/>
              <w:sz w:val="24"/>
              <w:szCs w:val="24"/>
            </w:rPr>
          </w:pPr>
          <w:hyperlink w:anchor="_Toc23253011" w:history="1">
            <w:r w:rsidR="00661F74" w:rsidRPr="00B92499">
              <w:rPr>
                <w:rStyle w:val="Hipervnculo"/>
                <w:rFonts w:ascii="Arial" w:hAnsi="Arial" w:cs="Arial"/>
                <w:b/>
                <w:noProof/>
              </w:rPr>
              <w:t>4.5</w:t>
            </w:r>
            <w:r w:rsidR="00661F74" w:rsidRPr="00B92499">
              <w:rPr>
                <w:rFonts w:cstheme="minorBidi"/>
                <w:noProof/>
                <w:sz w:val="24"/>
                <w:szCs w:val="24"/>
              </w:rPr>
              <w:tab/>
            </w:r>
            <w:r w:rsidR="00661F74" w:rsidRPr="00B92499">
              <w:rPr>
                <w:rStyle w:val="Hipervnculo"/>
                <w:rFonts w:ascii="Arial" w:hAnsi="Arial" w:cs="Arial"/>
                <w:b/>
                <w:noProof/>
              </w:rPr>
              <w:t>Análisis del artículo 145</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_Toc23253011 \h </w:instrText>
            </w:r>
            <w:r w:rsidR="00661F74" w:rsidRPr="00B92499">
              <w:rPr>
                <w:noProof/>
                <w:webHidden/>
              </w:rPr>
            </w:r>
            <w:r w:rsidR="00661F74" w:rsidRPr="00B92499">
              <w:rPr>
                <w:noProof/>
                <w:webHidden/>
              </w:rPr>
              <w:fldChar w:fldCharType="separate"/>
            </w:r>
            <w:r w:rsidR="00661F74" w:rsidRPr="00B92499">
              <w:rPr>
                <w:noProof/>
                <w:webHidden/>
              </w:rPr>
              <w:t>79</w:t>
            </w:r>
            <w:r w:rsidR="00661F74" w:rsidRPr="00B92499">
              <w:rPr>
                <w:noProof/>
                <w:webHidden/>
              </w:rPr>
              <w:fldChar w:fldCharType="end"/>
            </w:r>
          </w:hyperlink>
        </w:p>
        <w:p w14:paraId="601D926F" w14:textId="054715F6" w:rsidR="00661F74" w:rsidRPr="00B92499" w:rsidRDefault="003B5C22">
          <w:pPr>
            <w:pStyle w:val="TDC2"/>
            <w:tabs>
              <w:tab w:val="left" w:pos="880"/>
              <w:tab w:val="right" w:leader="dot" w:pos="8828"/>
            </w:tabs>
            <w:rPr>
              <w:rFonts w:cstheme="minorBidi"/>
              <w:noProof/>
              <w:sz w:val="24"/>
              <w:szCs w:val="24"/>
            </w:rPr>
          </w:pPr>
          <w:hyperlink w:anchor="_Toc23253012" w:history="1">
            <w:r w:rsidR="00661F74" w:rsidRPr="00B92499">
              <w:rPr>
                <w:rStyle w:val="Hipervnculo"/>
                <w:rFonts w:ascii="Arial" w:hAnsi="Arial" w:cs="Arial"/>
                <w:b/>
                <w:noProof/>
              </w:rPr>
              <w:t>4.6</w:t>
            </w:r>
            <w:r w:rsidR="00661F74" w:rsidRPr="00B92499">
              <w:rPr>
                <w:rFonts w:cstheme="minorBidi"/>
                <w:noProof/>
                <w:sz w:val="24"/>
                <w:szCs w:val="24"/>
              </w:rPr>
              <w:tab/>
            </w:r>
            <w:r w:rsidR="00661F74" w:rsidRPr="00B92499">
              <w:rPr>
                <w:rStyle w:val="Hipervnculo"/>
                <w:rFonts w:ascii="Arial" w:hAnsi="Arial" w:cs="Arial"/>
                <w:b/>
                <w:noProof/>
              </w:rPr>
              <w:t>Análisis del artículo 146</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_Toc23253012 \h </w:instrText>
            </w:r>
            <w:r w:rsidR="00661F74" w:rsidRPr="00B92499">
              <w:rPr>
                <w:noProof/>
                <w:webHidden/>
              </w:rPr>
            </w:r>
            <w:r w:rsidR="00661F74" w:rsidRPr="00B92499">
              <w:rPr>
                <w:noProof/>
                <w:webHidden/>
              </w:rPr>
              <w:fldChar w:fldCharType="separate"/>
            </w:r>
            <w:r w:rsidR="00661F74" w:rsidRPr="00B92499">
              <w:rPr>
                <w:noProof/>
                <w:webHidden/>
              </w:rPr>
              <w:t>79</w:t>
            </w:r>
            <w:r w:rsidR="00661F74" w:rsidRPr="00B92499">
              <w:rPr>
                <w:noProof/>
                <w:webHidden/>
              </w:rPr>
              <w:fldChar w:fldCharType="end"/>
            </w:r>
          </w:hyperlink>
        </w:p>
        <w:p w14:paraId="6987A196" w14:textId="226BD6CE" w:rsidR="00661F74" w:rsidRPr="00B92499" w:rsidRDefault="003B5C22">
          <w:pPr>
            <w:pStyle w:val="TDC2"/>
            <w:tabs>
              <w:tab w:val="left" w:pos="880"/>
              <w:tab w:val="right" w:leader="dot" w:pos="8828"/>
            </w:tabs>
            <w:rPr>
              <w:rFonts w:cstheme="minorBidi"/>
              <w:noProof/>
              <w:sz w:val="24"/>
              <w:szCs w:val="24"/>
            </w:rPr>
          </w:pPr>
          <w:hyperlink w:anchor="_Toc23253013" w:history="1">
            <w:r w:rsidR="00661F74" w:rsidRPr="00B92499">
              <w:rPr>
                <w:rStyle w:val="Hipervnculo"/>
                <w:rFonts w:ascii="Arial" w:hAnsi="Arial" w:cs="Arial"/>
                <w:b/>
                <w:noProof/>
              </w:rPr>
              <w:t>4.7</w:t>
            </w:r>
            <w:r w:rsidR="00661F74" w:rsidRPr="00B92499">
              <w:rPr>
                <w:rFonts w:cstheme="minorBidi"/>
                <w:noProof/>
                <w:sz w:val="24"/>
                <w:szCs w:val="24"/>
              </w:rPr>
              <w:tab/>
            </w:r>
            <w:r w:rsidR="00661F74" w:rsidRPr="00B92499">
              <w:rPr>
                <w:rStyle w:val="Hipervnculo"/>
                <w:rFonts w:ascii="Arial" w:hAnsi="Arial" w:cs="Arial"/>
                <w:b/>
                <w:noProof/>
              </w:rPr>
              <w:t>Análisis del artículo 147</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_Toc23253013 \h </w:instrText>
            </w:r>
            <w:r w:rsidR="00661F74" w:rsidRPr="00B92499">
              <w:rPr>
                <w:noProof/>
                <w:webHidden/>
              </w:rPr>
            </w:r>
            <w:r w:rsidR="00661F74" w:rsidRPr="00B92499">
              <w:rPr>
                <w:noProof/>
                <w:webHidden/>
              </w:rPr>
              <w:fldChar w:fldCharType="separate"/>
            </w:r>
            <w:r w:rsidR="00661F74" w:rsidRPr="00B92499">
              <w:rPr>
                <w:noProof/>
                <w:webHidden/>
              </w:rPr>
              <w:t>79</w:t>
            </w:r>
            <w:r w:rsidR="00661F74" w:rsidRPr="00B92499">
              <w:rPr>
                <w:noProof/>
                <w:webHidden/>
              </w:rPr>
              <w:fldChar w:fldCharType="end"/>
            </w:r>
          </w:hyperlink>
        </w:p>
        <w:p w14:paraId="134EDB99" w14:textId="436C4EC1" w:rsidR="00661F74" w:rsidRPr="00B92499" w:rsidRDefault="003B5C22">
          <w:pPr>
            <w:pStyle w:val="TDC1"/>
            <w:tabs>
              <w:tab w:val="right" w:leader="dot" w:pos="8828"/>
            </w:tabs>
            <w:rPr>
              <w:rFonts w:cstheme="minorBidi"/>
              <w:noProof/>
              <w:sz w:val="24"/>
              <w:szCs w:val="24"/>
            </w:rPr>
          </w:pPr>
          <w:hyperlink w:anchor="_Toc23253014" w:history="1">
            <w:r w:rsidR="00661F74" w:rsidRPr="00B92499">
              <w:rPr>
                <w:rStyle w:val="Hipervnculo"/>
                <w:rFonts w:ascii="Arial" w:hAnsi="Arial" w:cs="Arial"/>
                <w:b/>
                <w:noProof/>
              </w:rPr>
              <w:t>CONCLUSIONES</w:t>
            </w:r>
            <w:r w:rsidR="00661F74" w:rsidRPr="00B92499">
              <w:rPr>
                <w:noProof/>
                <w:webHidden/>
              </w:rPr>
              <w:tab/>
            </w:r>
            <w:r w:rsidR="00661F74" w:rsidRPr="00B92499">
              <w:rPr>
                <w:noProof/>
                <w:webHidden/>
              </w:rPr>
              <w:fldChar w:fldCharType="begin"/>
            </w:r>
            <w:r w:rsidR="00661F74" w:rsidRPr="00B92499">
              <w:rPr>
                <w:noProof/>
                <w:webHidden/>
              </w:rPr>
              <w:instrText xml:space="preserve"> PAGEREF _Toc23253014 \h </w:instrText>
            </w:r>
            <w:r w:rsidR="00661F74" w:rsidRPr="00B92499">
              <w:rPr>
                <w:noProof/>
                <w:webHidden/>
              </w:rPr>
            </w:r>
            <w:r w:rsidR="00661F74" w:rsidRPr="00B92499">
              <w:rPr>
                <w:noProof/>
                <w:webHidden/>
              </w:rPr>
              <w:fldChar w:fldCharType="separate"/>
            </w:r>
            <w:r w:rsidR="00661F74" w:rsidRPr="00B92499">
              <w:rPr>
                <w:noProof/>
                <w:webHidden/>
              </w:rPr>
              <w:t>80</w:t>
            </w:r>
            <w:r w:rsidR="00661F74" w:rsidRPr="00B92499">
              <w:rPr>
                <w:noProof/>
                <w:webHidden/>
              </w:rPr>
              <w:fldChar w:fldCharType="end"/>
            </w:r>
          </w:hyperlink>
        </w:p>
        <w:p w14:paraId="5CC6BDD5" w14:textId="534B49D5" w:rsidR="00C9398D" w:rsidRPr="00B92499" w:rsidRDefault="00552574" w:rsidP="00C9398D">
          <w:pPr>
            <w:jc w:val="both"/>
            <w:rPr>
              <w:rFonts w:ascii="Arial" w:hAnsi="Arial" w:cs="Arial"/>
              <w:b/>
              <w:bCs/>
            </w:rPr>
          </w:pPr>
          <w:r w:rsidRPr="00B92499">
            <w:rPr>
              <w:rFonts w:ascii="Arial" w:hAnsi="Arial" w:cs="Arial"/>
              <w:b/>
              <w:bCs/>
            </w:rPr>
            <w:fldChar w:fldCharType="end"/>
          </w:r>
        </w:p>
      </w:sdtContent>
    </w:sdt>
    <w:bookmarkStart w:id="2" w:name="_Toc13068673" w:displacedByCustomXml="prev"/>
    <w:p w14:paraId="741D0E4B" w14:textId="77777777" w:rsidR="00C9398D" w:rsidRPr="00B92499" w:rsidRDefault="00C9398D" w:rsidP="00C9398D">
      <w:pPr>
        <w:jc w:val="both"/>
        <w:rPr>
          <w:rFonts w:ascii="Arial" w:hAnsi="Arial" w:cs="Arial"/>
          <w:b/>
        </w:rPr>
      </w:pPr>
    </w:p>
    <w:p w14:paraId="2D7988F7" w14:textId="77777777" w:rsidR="00A64325" w:rsidRPr="00B92499" w:rsidRDefault="00A64325" w:rsidP="00C9398D">
      <w:pPr>
        <w:jc w:val="both"/>
        <w:rPr>
          <w:rFonts w:ascii="Arial" w:hAnsi="Arial" w:cs="Arial"/>
          <w:b/>
        </w:rPr>
      </w:pPr>
    </w:p>
    <w:p w14:paraId="44B473D2" w14:textId="77777777" w:rsidR="00A64325" w:rsidRPr="00B92499" w:rsidRDefault="00A64325" w:rsidP="00C9398D">
      <w:pPr>
        <w:jc w:val="both"/>
        <w:rPr>
          <w:rFonts w:ascii="Arial" w:hAnsi="Arial" w:cs="Arial"/>
          <w:b/>
        </w:rPr>
      </w:pPr>
    </w:p>
    <w:p w14:paraId="05A21C07" w14:textId="77777777" w:rsidR="00A64325" w:rsidRPr="00B92499" w:rsidRDefault="00A64325" w:rsidP="00C9398D">
      <w:pPr>
        <w:jc w:val="both"/>
        <w:rPr>
          <w:rFonts w:ascii="Arial" w:hAnsi="Arial" w:cs="Arial"/>
          <w:b/>
        </w:rPr>
      </w:pPr>
    </w:p>
    <w:p w14:paraId="773E5BF8" w14:textId="77777777" w:rsidR="00A64325" w:rsidRPr="00B92499" w:rsidRDefault="00A64325" w:rsidP="00C9398D">
      <w:pPr>
        <w:jc w:val="both"/>
        <w:rPr>
          <w:rFonts w:ascii="Arial" w:hAnsi="Arial" w:cs="Arial"/>
          <w:b/>
        </w:rPr>
      </w:pPr>
    </w:p>
    <w:p w14:paraId="7CCEA90F" w14:textId="77777777" w:rsidR="00A64325" w:rsidRPr="00B92499" w:rsidRDefault="00A64325" w:rsidP="00C9398D">
      <w:pPr>
        <w:jc w:val="both"/>
        <w:rPr>
          <w:rFonts w:ascii="Arial" w:hAnsi="Arial" w:cs="Arial"/>
          <w:b/>
        </w:rPr>
      </w:pPr>
    </w:p>
    <w:p w14:paraId="4CFA7B02" w14:textId="2E5B3A0C" w:rsidR="005A0F6E" w:rsidRPr="00B92499" w:rsidRDefault="005A0F6E" w:rsidP="00C9398D">
      <w:pPr>
        <w:jc w:val="both"/>
        <w:rPr>
          <w:rFonts w:ascii="Arial" w:hAnsi="Arial" w:cs="Arial"/>
        </w:rPr>
      </w:pPr>
      <w:r w:rsidRPr="00B92499">
        <w:rPr>
          <w:rFonts w:ascii="Arial" w:hAnsi="Arial" w:cs="Arial"/>
          <w:b/>
        </w:rPr>
        <w:lastRenderedPageBreak/>
        <w:t>INTRODUCCIÓN</w:t>
      </w:r>
      <w:bookmarkEnd w:id="2"/>
      <w:r w:rsidRPr="00B92499">
        <w:rPr>
          <w:rFonts w:ascii="Arial" w:hAnsi="Arial" w:cs="Arial"/>
          <w:b/>
        </w:rPr>
        <w:t xml:space="preserve"> </w:t>
      </w:r>
    </w:p>
    <w:p w14:paraId="404DDB8F"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05ECE301" w14:textId="026808C8" w:rsidR="005A0F6E" w:rsidRPr="00B92499" w:rsidRDefault="004924FA"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En el periodo agosto-septiembre del año en curso, la </w:t>
      </w:r>
      <w:r w:rsidR="005A0F6E" w:rsidRPr="00B92499">
        <w:rPr>
          <w:rFonts w:ascii="Arial" w:hAnsi="Arial" w:cs="Arial"/>
        </w:rPr>
        <w:t>Dirección de Estado Abierto, Estudios y Evaluación (DEAEE)</w:t>
      </w:r>
      <w:r w:rsidRPr="00B92499">
        <w:rPr>
          <w:rFonts w:ascii="Arial" w:hAnsi="Arial" w:cs="Arial"/>
        </w:rPr>
        <w:t xml:space="preserve"> realizó la Segunda Evaluación Vinculante 2019, respecto de los 35 sujetos obligado de reciente incorporación al Padrón de sujetos obligados supeditados al cumplimiento de la Ley de Transparencia</w:t>
      </w:r>
      <w:r w:rsidRPr="00B92499" w:rsidDel="005B5D1B">
        <w:rPr>
          <w:rFonts w:ascii="Arial" w:hAnsi="Arial" w:cs="Arial"/>
        </w:rPr>
        <w:t xml:space="preserve"> </w:t>
      </w:r>
      <w:r w:rsidRPr="00B92499">
        <w:rPr>
          <w:rFonts w:ascii="Arial" w:hAnsi="Arial" w:cs="Arial"/>
        </w:rPr>
        <w:t>y la Ley de Protección de Datos Personales en Posesión de los sujetos obligados de la Ciudad de México (Padrón). Lo anterior</w:t>
      </w:r>
      <w:r w:rsidR="005A0F6E" w:rsidRPr="00B92499">
        <w:rPr>
          <w:rFonts w:ascii="Arial" w:hAnsi="Arial" w:cs="Arial"/>
        </w:rPr>
        <w:t xml:space="preserve">, de conformidad con </w:t>
      </w:r>
      <w:r w:rsidRPr="00B92499">
        <w:rPr>
          <w:rFonts w:ascii="Arial" w:hAnsi="Arial" w:cs="Arial"/>
        </w:rPr>
        <w:t>las disposiciones d</w:t>
      </w:r>
      <w:r w:rsidR="005A0F6E" w:rsidRPr="00B92499">
        <w:rPr>
          <w:rFonts w:ascii="Arial" w:hAnsi="Arial" w:cs="Arial"/>
        </w:rPr>
        <w:t xml:space="preserve">el </w:t>
      </w:r>
      <w:r w:rsidR="008F67E4" w:rsidRPr="00B92499">
        <w:rPr>
          <w:rFonts w:ascii="Arial" w:hAnsi="Arial" w:cs="Arial"/>
        </w:rPr>
        <w:t>artícul</w:t>
      </w:r>
      <w:r w:rsidR="0033336D" w:rsidRPr="00B92499">
        <w:rPr>
          <w:rFonts w:ascii="Arial" w:hAnsi="Arial" w:cs="Arial"/>
        </w:rPr>
        <w:t>o</w:t>
      </w:r>
      <w:r w:rsidRPr="00B92499">
        <w:rPr>
          <w:rFonts w:ascii="Arial" w:hAnsi="Arial" w:cs="Arial"/>
        </w:rPr>
        <w:t xml:space="preserve"> </w:t>
      </w:r>
      <w:r w:rsidR="005A0F6E" w:rsidRPr="00B92499">
        <w:rPr>
          <w:rFonts w:ascii="Arial" w:hAnsi="Arial" w:cs="Arial"/>
        </w:rPr>
        <w:t>154 de la Ley de Transparencia, Acceso a la Información Pública y Rendición de Cuentas de la Ciudad de México (Ley de Transparencia)</w:t>
      </w:r>
      <w:r w:rsidRPr="00B92499">
        <w:rPr>
          <w:rFonts w:ascii="Arial" w:hAnsi="Arial" w:cs="Arial"/>
        </w:rPr>
        <w:t>,</w:t>
      </w:r>
      <w:r w:rsidR="005A0F6E" w:rsidRPr="00B92499">
        <w:rPr>
          <w:rFonts w:ascii="Arial" w:hAnsi="Arial" w:cs="Arial"/>
        </w:rPr>
        <w:t xml:space="preserve"> así como </w:t>
      </w:r>
      <w:r w:rsidRPr="00B92499">
        <w:rPr>
          <w:rFonts w:ascii="Arial" w:hAnsi="Arial" w:cs="Arial"/>
        </w:rPr>
        <w:t xml:space="preserve">con </w:t>
      </w:r>
      <w:r w:rsidR="005A0F6E" w:rsidRPr="00B92499">
        <w:rPr>
          <w:rFonts w:ascii="Arial" w:hAnsi="Arial" w:cs="Arial"/>
        </w:rPr>
        <w:t>las atribuciones conferidas en l</w:t>
      </w:r>
      <w:r w:rsidR="00114E33" w:rsidRPr="00B92499">
        <w:rPr>
          <w:rFonts w:ascii="Arial" w:hAnsi="Arial" w:cs="Arial"/>
        </w:rPr>
        <w:t>as fraccione</w:t>
      </w:r>
      <w:r w:rsidR="005A0F6E" w:rsidRPr="00B92499">
        <w:rPr>
          <w:rFonts w:ascii="Arial" w:hAnsi="Arial" w:cs="Arial"/>
        </w:rPr>
        <w:t xml:space="preserve">s XI y XII del </w:t>
      </w:r>
      <w:r w:rsidR="008F67E4" w:rsidRPr="00B92499">
        <w:rPr>
          <w:rFonts w:ascii="Arial" w:hAnsi="Arial" w:cs="Arial"/>
        </w:rPr>
        <w:t>artículo</w:t>
      </w:r>
      <w:r w:rsidRPr="00B92499">
        <w:rPr>
          <w:rFonts w:ascii="Arial" w:hAnsi="Arial" w:cs="Arial"/>
        </w:rPr>
        <w:t xml:space="preserve"> </w:t>
      </w:r>
      <w:r w:rsidR="005A0F6E" w:rsidRPr="00B92499">
        <w:rPr>
          <w:rFonts w:ascii="Arial" w:hAnsi="Arial" w:cs="Arial"/>
        </w:rPr>
        <w:t>22 del Reglamento Interior del Instituto de Transparencia, Acceso a la Información Pública, Protección de Datos Personales y Rendición de Cuentas de la Ciudad de México (Reglamento Interior).</w:t>
      </w:r>
    </w:p>
    <w:p w14:paraId="6BCD5FF9"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40E7BFA7" w14:textId="49A5537E"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En esta evaluación se verificó que la información publicada en la Plataforma Nacional de Transparencia (PNT) y en los portales de Internet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estuviera completa y actualizada </w:t>
      </w:r>
      <w:r w:rsidR="004F753C" w:rsidRPr="00B92499">
        <w:rPr>
          <w:rFonts w:ascii="Arial" w:hAnsi="Arial" w:cs="Arial"/>
        </w:rPr>
        <w:t>al primer semestre de 2019</w:t>
      </w:r>
      <w:r w:rsidR="008F67E4" w:rsidRPr="00B92499">
        <w:rPr>
          <w:rFonts w:ascii="Arial" w:hAnsi="Arial" w:cs="Arial"/>
        </w:rPr>
        <w:t xml:space="preserve">. Se revisó también </w:t>
      </w:r>
      <w:r w:rsidRPr="00B92499">
        <w:rPr>
          <w:rFonts w:ascii="Arial" w:hAnsi="Arial" w:cs="Arial"/>
        </w:rPr>
        <w:t>que se conservara</w:t>
      </w:r>
      <w:r w:rsidR="008F67E4" w:rsidRPr="00B92499">
        <w:rPr>
          <w:rFonts w:ascii="Arial" w:hAnsi="Arial" w:cs="Arial"/>
        </w:rPr>
        <w:t>,</w:t>
      </w:r>
      <w:r w:rsidRPr="00B92499">
        <w:rPr>
          <w:rFonts w:ascii="Arial" w:hAnsi="Arial" w:cs="Arial"/>
        </w:rPr>
        <w:t xml:space="preserve"> en ambas plataformas</w:t>
      </w:r>
      <w:r w:rsidR="008F67E4" w:rsidRPr="00B92499">
        <w:rPr>
          <w:rFonts w:ascii="Arial" w:hAnsi="Arial" w:cs="Arial"/>
        </w:rPr>
        <w:t>,</w:t>
      </w:r>
      <w:r w:rsidRPr="00B92499">
        <w:rPr>
          <w:rFonts w:ascii="Arial" w:hAnsi="Arial" w:cs="Arial"/>
        </w:rPr>
        <w:t xml:space="preserve"> la información correspondiente a los ejercicios anteriores, de conformidad con la tabla de actualización y conservación de la información, incluida en los Lineamientos y Metodología de Evaluación de las </w:t>
      </w:r>
      <w:r w:rsidR="008710F6" w:rsidRPr="00B92499">
        <w:rPr>
          <w:rFonts w:ascii="Arial" w:hAnsi="Arial" w:cs="Arial"/>
        </w:rPr>
        <w:t>obligaciones de transparencia</w:t>
      </w:r>
      <w:r w:rsidRPr="00B92499">
        <w:rPr>
          <w:rFonts w:ascii="Arial" w:hAnsi="Arial" w:cs="Arial"/>
        </w:rPr>
        <w:t xml:space="preserve"> que deben publicar en sus Portales de Internet y en la PNT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Ciudad de México (Lineamientos).</w:t>
      </w:r>
    </w:p>
    <w:p w14:paraId="15B04E99"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7C410C3" w14:textId="16A40BA0" w:rsidR="005A0F6E" w:rsidRPr="00B92499" w:rsidRDefault="008F67E4" w:rsidP="002E7D47">
      <w:pPr>
        <w:autoSpaceDE w:val="0"/>
        <w:autoSpaceDN w:val="0"/>
        <w:adjustRightInd w:val="0"/>
        <w:spacing w:line="360" w:lineRule="auto"/>
        <w:contextualSpacing/>
        <w:jc w:val="both"/>
        <w:rPr>
          <w:rFonts w:ascii="Arial" w:hAnsi="Arial" w:cs="Arial"/>
        </w:rPr>
      </w:pPr>
      <w:r w:rsidRPr="00B92499">
        <w:rPr>
          <w:rFonts w:ascii="Arial" w:hAnsi="Arial" w:cs="Arial"/>
          <w:lang w:eastAsia="es-ES"/>
        </w:rPr>
        <w:t>Con base en</w:t>
      </w:r>
      <w:r w:rsidR="005A0F6E" w:rsidRPr="00B92499">
        <w:rPr>
          <w:rFonts w:ascii="Arial" w:hAnsi="Arial" w:cs="Arial"/>
          <w:lang w:eastAsia="es-ES"/>
        </w:rPr>
        <w:t xml:space="preserve"> los resultados de la evaluación </w:t>
      </w:r>
      <w:r w:rsidR="005A0F6E" w:rsidRPr="00B92499">
        <w:rPr>
          <w:rFonts w:ascii="Arial" w:hAnsi="Arial" w:cs="Arial"/>
        </w:rPr>
        <w:t xml:space="preserve">se generó el Índice General de Cumplimiento de </w:t>
      </w:r>
      <w:r w:rsidRPr="00B92499">
        <w:rPr>
          <w:rFonts w:ascii="Arial" w:hAnsi="Arial" w:cs="Arial"/>
        </w:rPr>
        <w:t xml:space="preserve">Obligaciones </w:t>
      </w:r>
      <w:r w:rsidR="008710F6" w:rsidRPr="00B92499">
        <w:rPr>
          <w:rFonts w:ascii="Arial" w:hAnsi="Arial" w:cs="Arial"/>
        </w:rPr>
        <w:t xml:space="preserve">de </w:t>
      </w:r>
      <w:r w:rsidRPr="00B92499">
        <w:rPr>
          <w:rFonts w:ascii="Arial" w:hAnsi="Arial" w:cs="Arial"/>
        </w:rPr>
        <w:t xml:space="preserve">Transparencia </w:t>
      </w:r>
      <w:r w:rsidR="005A0F6E" w:rsidRPr="00B92499">
        <w:rPr>
          <w:rFonts w:ascii="Arial" w:hAnsi="Arial" w:cs="Arial"/>
        </w:rPr>
        <w:t xml:space="preserve">(IGOT)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005A0F6E" w:rsidRPr="00B92499">
        <w:rPr>
          <w:rFonts w:ascii="Arial" w:hAnsi="Arial" w:cs="Arial"/>
        </w:rPr>
        <w:t xml:space="preserve">, el cual </w:t>
      </w:r>
      <w:r w:rsidRPr="00B92499">
        <w:rPr>
          <w:rFonts w:ascii="Arial" w:hAnsi="Arial" w:cs="Arial"/>
        </w:rPr>
        <w:t>sintetiza en un dato cuantitativo los resultados</w:t>
      </w:r>
      <w:r w:rsidR="005A0F6E" w:rsidRPr="00B92499">
        <w:rPr>
          <w:rFonts w:ascii="Arial" w:hAnsi="Arial" w:cs="Arial"/>
        </w:rPr>
        <w:t xml:space="preserve"> de la evaluación </w:t>
      </w:r>
      <w:r w:rsidRPr="00B92499">
        <w:rPr>
          <w:rFonts w:ascii="Arial" w:hAnsi="Arial" w:cs="Arial"/>
        </w:rPr>
        <w:t xml:space="preserve">cualitativa </w:t>
      </w:r>
      <w:r w:rsidR="005A0F6E" w:rsidRPr="00B92499">
        <w:rPr>
          <w:rFonts w:ascii="Arial" w:hAnsi="Arial" w:cs="Arial"/>
        </w:rPr>
        <w:t xml:space="preserve">correspondiente. Dicho índice se construye por la sumatoria del Índice de Cumplimiento de </w:t>
      </w:r>
      <w:r w:rsidR="008710F6" w:rsidRPr="00B92499">
        <w:rPr>
          <w:rFonts w:ascii="Arial" w:hAnsi="Arial" w:cs="Arial"/>
        </w:rPr>
        <w:t>obligaciones de transparencia</w:t>
      </w:r>
      <w:r w:rsidR="005A0F6E" w:rsidRPr="00B92499">
        <w:rPr>
          <w:rFonts w:ascii="Arial" w:hAnsi="Arial" w:cs="Arial"/>
        </w:rPr>
        <w:t xml:space="preserve"> del Portal de Internet (</w:t>
      </w:r>
      <w:r w:rsidR="00623A69" w:rsidRPr="00B92499">
        <w:rPr>
          <w:rFonts w:ascii="Arial" w:hAnsi="Arial" w:cs="Arial"/>
        </w:rPr>
        <w:t>ICOT-PT</w:t>
      </w:r>
      <w:r w:rsidR="005A0F6E" w:rsidRPr="00B92499">
        <w:rPr>
          <w:rFonts w:ascii="Arial" w:hAnsi="Arial" w:cs="Arial"/>
        </w:rPr>
        <w:t xml:space="preserve">) y el de la PNT (ICOT-PNT). En específico, tanto el </w:t>
      </w:r>
      <w:r w:rsidR="00623A69" w:rsidRPr="00B92499">
        <w:rPr>
          <w:rFonts w:ascii="Arial" w:hAnsi="Arial" w:cs="Arial"/>
        </w:rPr>
        <w:t>ICOT-PT</w:t>
      </w:r>
      <w:r w:rsidR="005A0F6E" w:rsidRPr="00B92499">
        <w:rPr>
          <w:rFonts w:ascii="Arial" w:hAnsi="Arial" w:cs="Arial"/>
        </w:rPr>
        <w:t xml:space="preserve"> como el ICOT-PNT se integran con los resultados de la </w:t>
      </w:r>
      <w:r w:rsidRPr="00B92499">
        <w:rPr>
          <w:rFonts w:ascii="Arial" w:hAnsi="Arial" w:cs="Arial"/>
        </w:rPr>
        <w:t xml:space="preserve">verificación </w:t>
      </w:r>
      <w:r w:rsidR="005A0F6E" w:rsidRPr="00B92499">
        <w:rPr>
          <w:rFonts w:ascii="Arial" w:hAnsi="Arial" w:cs="Arial"/>
        </w:rPr>
        <w:t xml:space="preserve">del cumplimiento de las obligaciones comunes consistentes en los </w:t>
      </w:r>
      <w:r w:rsidRPr="00B92499">
        <w:rPr>
          <w:rFonts w:ascii="Arial" w:hAnsi="Arial" w:cs="Arial"/>
        </w:rPr>
        <w:t>artículo</w:t>
      </w:r>
      <w:r w:rsidR="005A0F6E" w:rsidRPr="00B92499">
        <w:rPr>
          <w:rFonts w:ascii="Arial" w:hAnsi="Arial" w:cs="Arial"/>
        </w:rPr>
        <w:t xml:space="preserve">s 121 y 122; las obligaciones específicas </w:t>
      </w:r>
      <w:r w:rsidR="005A0F6E" w:rsidRPr="00B92499">
        <w:rPr>
          <w:rFonts w:ascii="Arial" w:hAnsi="Arial" w:cs="Arial"/>
        </w:rPr>
        <w:lastRenderedPageBreak/>
        <w:t xml:space="preserve">consistentes en los </w:t>
      </w:r>
      <w:r w:rsidRPr="00B92499">
        <w:rPr>
          <w:rFonts w:ascii="Arial" w:hAnsi="Arial" w:cs="Arial"/>
        </w:rPr>
        <w:t>artículo</w:t>
      </w:r>
      <w:r w:rsidR="005A0F6E" w:rsidRPr="00B92499">
        <w:rPr>
          <w:rFonts w:ascii="Arial" w:hAnsi="Arial" w:cs="Arial"/>
        </w:rPr>
        <w:t xml:space="preserve">s 123 al 140, y las disposiciones particulares contempladas en los </w:t>
      </w:r>
      <w:r w:rsidRPr="00B92499">
        <w:rPr>
          <w:rFonts w:ascii="Arial" w:hAnsi="Arial" w:cs="Arial"/>
        </w:rPr>
        <w:t>artículo</w:t>
      </w:r>
      <w:r w:rsidR="005A0F6E" w:rsidRPr="00B92499">
        <w:rPr>
          <w:rFonts w:ascii="Arial" w:hAnsi="Arial" w:cs="Arial"/>
        </w:rPr>
        <w:t xml:space="preserve">s 141 al 147; todos </w:t>
      </w:r>
      <w:r w:rsidRPr="00B92499">
        <w:rPr>
          <w:rFonts w:ascii="Arial" w:hAnsi="Arial" w:cs="Arial"/>
        </w:rPr>
        <w:t>artículo</w:t>
      </w:r>
      <w:r w:rsidR="005A0F6E" w:rsidRPr="00B92499">
        <w:rPr>
          <w:rFonts w:ascii="Arial" w:hAnsi="Arial" w:cs="Arial"/>
        </w:rPr>
        <w:t>s de la Ley de Transparencia</w:t>
      </w:r>
      <w:r w:rsidR="00114E33" w:rsidRPr="00B92499">
        <w:rPr>
          <w:rFonts w:ascii="Arial" w:hAnsi="Arial" w:cs="Arial"/>
        </w:rPr>
        <w:t>.</w:t>
      </w:r>
    </w:p>
    <w:p w14:paraId="27C3BFC4"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1BA07B27" w14:textId="70375AD2"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De conformidad con </w:t>
      </w:r>
      <w:r w:rsidR="008F67E4" w:rsidRPr="00B92499">
        <w:rPr>
          <w:rFonts w:ascii="Arial" w:hAnsi="Arial" w:cs="Arial"/>
        </w:rPr>
        <w:t xml:space="preserve">las disposiciones de </w:t>
      </w:r>
      <w:r w:rsidRPr="00B92499">
        <w:rPr>
          <w:rFonts w:ascii="Arial" w:hAnsi="Arial" w:cs="Arial"/>
        </w:rPr>
        <w:t xml:space="preserve">los Lineamientos, el valor de cada uno de </w:t>
      </w:r>
      <w:r w:rsidR="008F67E4" w:rsidRPr="00B92499">
        <w:rPr>
          <w:rFonts w:ascii="Arial" w:hAnsi="Arial" w:cs="Arial"/>
        </w:rPr>
        <w:t xml:space="preserve">los </w:t>
      </w:r>
      <w:r w:rsidRPr="00B92499">
        <w:rPr>
          <w:rFonts w:ascii="Arial" w:hAnsi="Arial" w:cs="Arial"/>
        </w:rPr>
        <w:t xml:space="preserve">índices </w:t>
      </w:r>
      <w:r w:rsidR="008F67E4" w:rsidRPr="00B92499">
        <w:rPr>
          <w:rFonts w:ascii="Arial" w:hAnsi="Arial" w:cs="Arial"/>
        </w:rPr>
        <w:t xml:space="preserve">referidos (ICOT-PT e ICOT-PNT) </w:t>
      </w:r>
      <w:r w:rsidRPr="00B92499">
        <w:rPr>
          <w:rFonts w:ascii="Arial" w:hAnsi="Arial" w:cs="Arial"/>
        </w:rPr>
        <w:t xml:space="preserve">corresponde al 50% del IGOT. Los </w:t>
      </w:r>
      <w:r w:rsidR="008F67E4" w:rsidRPr="00B92499">
        <w:rPr>
          <w:rFonts w:ascii="Arial" w:hAnsi="Arial" w:cs="Arial"/>
        </w:rPr>
        <w:t>artículo</w:t>
      </w:r>
      <w:r w:rsidRPr="00B92499">
        <w:rPr>
          <w:rFonts w:ascii="Arial" w:hAnsi="Arial" w:cs="Arial"/>
        </w:rPr>
        <w:t xml:space="preserve">s correspondientes a las obligaciones de transparencia comunes tienen un valor de 60% del total del </w:t>
      </w:r>
      <w:r w:rsidR="00623A69" w:rsidRPr="00B92499">
        <w:rPr>
          <w:rFonts w:ascii="Arial" w:hAnsi="Arial" w:cs="Arial"/>
        </w:rPr>
        <w:t>ICOT-PT</w:t>
      </w:r>
      <w:r w:rsidRPr="00B92499">
        <w:rPr>
          <w:rFonts w:ascii="Arial" w:hAnsi="Arial" w:cs="Arial"/>
        </w:rPr>
        <w:t xml:space="preserve"> y ICOT-PNT respectivamente. Los </w:t>
      </w:r>
      <w:r w:rsidR="008F67E4" w:rsidRPr="00B92499">
        <w:rPr>
          <w:rFonts w:ascii="Arial" w:hAnsi="Arial" w:cs="Arial"/>
        </w:rPr>
        <w:t>artículo</w:t>
      </w:r>
      <w:r w:rsidRPr="00B92499">
        <w:rPr>
          <w:rFonts w:ascii="Arial" w:hAnsi="Arial" w:cs="Arial"/>
        </w:rPr>
        <w:t xml:space="preserve">s que hacen referencia a las obligaciones específicas de cada </w:t>
      </w:r>
      <w:r w:rsidR="008710F6" w:rsidRPr="00B92499">
        <w:rPr>
          <w:rFonts w:ascii="Arial" w:hAnsi="Arial" w:cs="Arial"/>
        </w:rPr>
        <w:t>sujeto obligado</w:t>
      </w:r>
      <w:r w:rsidRPr="00B92499">
        <w:rPr>
          <w:rFonts w:ascii="Arial" w:hAnsi="Arial" w:cs="Arial"/>
        </w:rPr>
        <w:t xml:space="preserve"> tienen un valor de 20% del total de cada uno de estos índices, y las disposiciones particulares establecidas en los </w:t>
      </w:r>
      <w:r w:rsidR="008F67E4" w:rsidRPr="00B92499">
        <w:rPr>
          <w:rFonts w:ascii="Arial" w:hAnsi="Arial" w:cs="Arial"/>
        </w:rPr>
        <w:t>artículo</w:t>
      </w:r>
      <w:r w:rsidRPr="00B92499">
        <w:rPr>
          <w:rFonts w:ascii="Arial" w:hAnsi="Arial" w:cs="Arial"/>
        </w:rPr>
        <w:t xml:space="preserve">s 143, 145, 146 y 147 tienen una ponderación del 5% </w:t>
      </w:r>
      <w:r w:rsidR="008F67E4" w:rsidRPr="00B92499">
        <w:rPr>
          <w:rFonts w:ascii="Arial" w:hAnsi="Arial" w:cs="Arial"/>
        </w:rPr>
        <w:t xml:space="preserve">(y totalizan, en conjunto, 20%) </w:t>
      </w:r>
      <w:r w:rsidRPr="00B92499">
        <w:rPr>
          <w:rFonts w:ascii="Arial" w:hAnsi="Arial" w:cs="Arial"/>
        </w:rPr>
        <w:t xml:space="preserve">respecto de cada una de estas herramientas metodológicas. </w:t>
      </w:r>
      <w:r w:rsidR="008F67E4" w:rsidRPr="00B92499">
        <w:rPr>
          <w:rFonts w:ascii="Arial" w:hAnsi="Arial" w:cs="Arial"/>
        </w:rPr>
        <w:t xml:space="preserve">Con ello, cada uno de esos </w:t>
      </w:r>
      <w:r w:rsidR="000D67A7" w:rsidRPr="00B92499">
        <w:rPr>
          <w:rFonts w:ascii="Arial" w:hAnsi="Arial" w:cs="Arial"/>
        </w:rPr>
        <w:t>2</w:t>
      </w:r>
      <w:r w:rsidR="008F67E4" w:rsidRPr="00B92499">
        <w:rPr>
          <w:rFonts w:ascii="Arial" w:hAnsi="Arial" w:cs="Arial"/>
        </w:rPr>
        <w:t xml:space="preserve"> índices se integra</w:t>
      </w:r>
      <w:r w:rsidR="00404D88" w:rsidRPr="00B92499">
        <w:rPr>
          <w:rFonts w:ascii="Arial" w:hAnsi="Arial" w:cs="Arial"/>
        </w:rPr>
        <w:t>n</w:t>
      </w:r>
      <w:r w:rsidR="008F67E4" w:rsidRPr="00B92499">
        <w:rPr>
          <w:rFonts w:ascii="Arial" w:hAnsi="Arial" w:cs="Arial"/>
        </w:rPr>
        <w:t xml:space="preserve"> con los siguientes componentes: Obligaciones de transparencia comunes (60%) + obligaciones de transparencia específicas (20%) + obligaciones de transparencia derivadas de disposiciones particulares (20%).   </w:t>
      </w:r>
    </w:p>
    <w:p w14:paraId="76A13C70"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2989A83" w14:textId="6C44407B"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En esta línea, la evaluación consistió en verificar </w:t>
      </w:r>
      <w:r w:rsidR="006D516A" w:rsidRPr="00B92499">
        <w:rPr>
          <w:rFonts w:ascii="Arial" w:hAnsi="Arial" w:cs="Arial"/>
        </w:rPr>
        <w:t xml:space="preserve">que cada sujeto obligado hubiera cumplido con el deber de </w:t>
      </w:r>
      <w:r w:rsidRPr="00B92499">
        <w:rPr>
          <w:rFonts w:ascii="Arial" w:hAnsi="Arial" w:cs="Arial"/>
        </w:rPr>
        <w:t>publica</w:t>
      </w:r>
      <w:r w:rsidR="006D516A" w:rsidRPr="00B92499">
        <w:rPr>
          <w:rFonts w:ascii="Arial" w:hAnsi="Arial" w:cs="Arial"/>
        </w:rPr>
        <w:t>r y mantener actualizada</w:t>
      </w:r>
      <w:r w:rsidRPr="00B92499">
        <w:rPr>
          <w:rFonts w:ascii="Arial" w:hAnsi="Arial" w:cs="Arial"/>
        </w:rPr>
        <w:t xml:space="preserve"> </w:t>
      </w:r>
      <w:r w:rsidR="006D516A" w:rsidRPr="00B92499">
        <w:rPr>
          <w:rFonts w:ascii="Arial" w:hAnsi="Arial" w:cs="Arial"/>
        </w:rPr>
        <w:t xml:space="preserve">su </w:t>
      </w:r>
      <w:r w:rsidRPr="00B92499">
        <w:rPr>
          <w:rFonts w:ascii="Arial" w:hAnsi="Arial" w:cs="Arial"/>
        </w:rPr>
        <w:t>información</w:t>
      </w:r>
      <w:r w:rsidR="006D516A" w:rsidRPr="00B92499">
        <w:rPr>
          <w:rFonts w:ascii="Arial" w:hAnsi="Arial" w:cs="Arial"/>
        </w:rPr>
        <w:t xml:space="preserve">, y los resultados se reflejaron mediante el </w:t>
      </w:r>
      <w:r w:rsidRPr="00B92499">
        <w:rPr>
          <w:rFonts w:ascii="Arial" w:hAnsi="Arial" w:cs="Arial"/>
        </w:rPr>
        <w:t xml:space="preserve">cálculo inicial de 81 índices simples: 21 de criterios sustantivos de contenido, 20 de criterios adjetivos de actualización, 20 de criterios de confiabilidad y 20 de criterios adjetivos de formato, tanto en el </w:t>
      </w:r>
      <w:r w:rsidR="006D516A" w:rsidRPr="00B92499">
        <w:rPr>
          <w:rFonts w:ascii="Arial" w:hAnsi="Arial" w:cs="Arial"/>
        </w:rPr>
        <w:t>portal de internet (</w:t>
      </w:r>
      <w:r w:rsidRPr="00B92499">
        <w:rPr>
          <w:rFonts w:ascii="Arial" w:hAnsi="Arial" w:cs="Arial"/>
        </w:rPr>
        <w:t>PI</w:t>
      </w:r>
      <w:r w:rsidR="006D516A" w:rsidRPr="00B92499">
        <w:rPr>
          <w:rFonts w:ascii="Arial" w:hAnsi="Arial" w:cs="Arial"/>
        </w:rPr>
        <w:t>)</w:t>
      </w:r>
      <w:r w:rsidRPr="00B92499">
        <w:rPr>
          <w:rFonts w:ascii="Arial" w:hAnsi="Arial" w:cs="Arial"/>
        </w:rPr>
        <w:t xml:space="preserve"> como en la </w:t>
      </w:r>
      <w:r w:rsidR="006D516A" w:rsidRPr="00B92499">
        <w:rPr>
          <w:rFonts w:ascii="Arial" w:hAnsi="Arial" w:cs="Arial"/>
        </w:rPr>
        <w:t>Plataforma Nacional de Transparencia (</w:t>
      </w:r>
      <w:r w:rsidRPr="00B92499">
        <w:rPr>
          <w:rFonts w:ascii="Arial" w:hAnsi="Arial" w:cs="Arial"/>
        </w:rPr>
        <w:t>PNT</w:t>
      </w:r>
      <w:r w:rsidR="006D516A" w:rsidRPr="00B92499">
        <w:rPr>
          <w:rFonts w:ascii="Arial" w:hAnsi="Arial" w:cs="Arial"/>
        </w:rPr>
        <w:t>)</w:t>
      </w:r>
      <w:r w:rsidRPr="00B92499">
        <w:rPr>
          <w:rFonts w:ascii="Arial" w:hAnsi="Arial" w:cs="Arial"/>
        </w:rPr>
        <w:t xml:space="preserve">. </w:t>
      </w:r>
    </w:p>
    <w:p w14:paraId="536C56F3"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E508D6D" w14:textId="72C56C8C" w:rsidR="004F753C" w:rsidRPr="00B92499" w:rsidRDefault="005A0F6E" w:rsidP="004F753C">
      <w:pPr>
        <w:autoSpaceDE w:val="0"/>
        <w:autoSpaceDN w:val="0"/>
        <w:adjustRightInd w:val="0"/>
        <w:spacing w:line="360" w:lineRule="auto"/>
        <w:contextualSpacing/>
        <w:jc w:val="both"/>
        <w:rPr>
          <w:rFonts w:ascii="Arial" w:hAnsi="Arial" w:cs="Arial"/>
        </w:rPr>
      </w:pPr>
      <w:r w:rsidRPr="00B92499">
        <w:rPr>
          <w:rFonts w:ascii="Arial" w:hAnsi="Arial" w:cs="Arial"/>
        </w:rPr>
        <w:t>Los criterios sustantivos de contenido son aquellos relacionados con la existencia de la información; los criterios adjetivos de actualización establecen que la información publicada cumpla con los periodos de actualización y conservación; los criterios adjetivos de confiabilidad son aquellos que permiten identificar la fecha en que se actualizó por última vez la información, la fecha de validación y el área que generó l</w:t>
      </w:r>
      <w:r w:rsidR="0033336D" w:rsidRPr="00B92499">
        <w:rPr>
          <w:rFonts w:ascii="Arial" w:hAnsi="Arial" w:cs="Arial"/>
        </w:rPr>
        <w:t>a información</w:t>
      </w:r>
      <w:r w:rsidRPr="00B92499">
        <w:rPr>
          <w:rFonts w:ascii="Arial" w:hAnsi="Arial" w:cs="Arial"/>
        </w:rPr>
        <w:t xml:space="preserve">. Por último, los criterios adjetivos de formato determinan las </w:t>
      </w:r>
      <w:r w:rsidRPr="00B92499">
        <w:rPr>
          <w:rFonts w:ascii="Arial" w:hAnsi="Arial" w:cs="Arial"/>
        </w:rPr>
        <w:lastRenderedPageBreak/>
        <w:t>características mínimas con las que debe ser organizada, sistematizada y publicada la información, permitiendo su reutilización.</w:t>
      </w:r>
    </w:p>
    <w:p w14:paraId="734E970A" w14:textId="77777777" w:rsidR="004F753C" w:rsidRPr="00B92499" w:rsidRDefault="004F753C" w:rsidP="004F753C">
      <w:pPr>
        <w:autoSpaceDE w:val="0"/>
        <w:autoSpaceDN w:val="0"/>
        <w:adjustRightInd w:val="0"/>
        <w:spacing w:line="360" w:lineRule="auto"/>
        <w:contextualSpacing/>
        <w:jc w:val="both"/>
        <w:rPr>
          <w:rFonts w:ascii="Arial" w:hAnsi="Arial" w:cs="Arial"/>
        </w:rPr>
      </w:pPr>
    </w:p>
    <w:p w14:paraId="290551FF" w14:textId="17FBC90B" w:rsidR="00395256" w:rsidRPr="00B92499" w:rsidRDefault="004F753C" w:rsidP="004F753C">
      <w:pPr>
        <w:autoSpaceDE w:val="0"/>
        <w:autoSpaceDN w:val="0"/>
        <w:adjustRightInd w:val="0"/>
        <w:spacing w:line="360" w:lineRule="auto"/>
        <w:contextualSpacing/>
        <w:jc w:val="both"/>
        <w:rPr>
          <w:rFonts w:ascii="Arial" w:hAnsi="Arial" w:cs="Arial"/>
        </w:rPr>
      </w:pPr>
      <w:r w:rsidRPr="00B92499">
        <w:rPr>
          <w:rFonts w:ascii="Arial" w:hAnsi="Arial" w:cs="Arial"/>
        </w:rPr>
        <w:t>De igual forma, en atención a</w:t>
      </w:r>
      <w:r w:rsidR="0066571C" w:rsidRPr="00B92499">
        <w:rPr>
          <w:rFonts w:ascii="Arial" w:hAnsi="Arial" w:cs="Arial"/>
        </w:rPr>
        <w:t xml:space="preserve"> </w:t>
      </w:r>
      <w:r w:rsidRPr="00B92499">
        <w:rPr>
          <w:rFonts w:ascii="Arial" w:hAnsi="Arial" w:cs="Arial"/>
        </w:rPr>
        <w:t>l</w:t>
      </w:r>
      <w:r w:rsidR="0066571C" w:rsidRPr="00B92499">
        <w:rPr>
          <w:rFonts w:ascii="Arial" w:hAnsi="Arial" w:cs="Arial"/>
        </w:rPr>
        <w:t>o dispuesto por el</w:t>
      </w:r>
      <w:r w:rsidRPr="00B92499">
        <w:rPr>
          <w:rFonts w:ascii="Arial" w:hAnsi="Arial" w:cs="Arial"/>
        </w:rPr>
        <w:t xml:space="preserve"> </w:t>
      </w:r>
      <w:r w:rsidR="00701AD0" w:rsidRPr="00B92499">
        <w:rPr>
          <w:rFonts w:ascii="Arial" w:hAnsi="Arial" w:cs="Arial"/>
        </w:rPr>
        <w:t xml:space="preserve">ordinal </w:t>
      </w:r>
      <w:r w:rsidRPr="00B92499">
        <w:rPr>
          <w:rFonts w:ascii="Arial" w:hAnsi="Arial" w:cs="Arial"/>
        </w:rPr>
        <w:t>Octavo, fracción V</w:t>
      </w:r>
      <w:r w:rsidR="00701AD0" w:rsidRPr="00B92499">
        <w:rPr>
          <w:rFonts w:ascii="Arial" w:hAnsi="Arial" w:cs="Arial"/>
        </w:rPr>
        <w:t>,</w:t>
      </w:r>
      <w:r w:rsidRPr="00B92499">
        <w:rPr>
          <w:rFonts w:ascii="Arial" w:hAnsi="Arial" w:cs="Arial"/>
        </w:rPr>
        <w:t xml:space="preserve"> de los Lineamientos Generales y la Política Quinta de los Lineamientos de Evaluación, en el caso de que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no generen o no cuenten con determinada información que es parte de sus obligaciones de transparencia </w:t>
      </w:r>
      <w:r w:rsidR="0066571C" w:rsidRPr="00B92499">
        <w:rPr>
          <w:rFonts w:ascii="Arial" w:hAnsi="Arial" w:cs="Arial"/>
        </w:rPr>
        <w:t>en función de</w:t>
      </w:r>
      <w:r w:rsidRPr="00B92499">
        <w:rPr>
          <w:rFonts w:ascii="Arial" w:hAnsi="Arial" w:cs="Arial"/>
        </w:rPr>
        <w:t xml:space="preserve"> sus facultades o atribuciones,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deberán especificar el periodo a que se refiere e incluir una explicación </w:t>
      </w:r>
      <w:r w:rsidR="00395256" w:rsidRPr="00B92499">
        <w:rPr>
          <w:rFonts w:ascii="Arial" w:hAnsi="Arial" w:cs="Arial"/>
        </w:rPr>
        <w:t xml:space="preserve">de las razones de la ausencia de la información, </w:t>
      </w:r>
      <w:r w:rsidRPr="00B92499">
        <w:rPr>
          <w:rFonts w:ascii="Arial" w:hAnsi="Arial" w:cs="Arial"/>
        </w:rPr>
        <w:t xml:space="preserve">mediante una nota breve, clara y motivada, </w:t>
      </w:r>
      <w:r w:rsidR="0066571C" w:rsidRPr="00B92499">
        <w:rPr>
          <w:rFonts w:ascii="Arial" w:hAnsi="Arial" w:cs="Arial"/>
        </w:rPr>
        <w:t xml:space="preserve">e incluir </w:t>
      </w:r>
      <w:r w:rsidRPr="00B92499">
        <w:rPr>
          <w:rFonts w:ascii="Arial" w:hAnsi="Arial" w:cs="Arial"/>
        </w:rPr>
        <w:t xml:space="preserve">la fundamentación respectiva. </w:t>
      </w:r>
    </w:p>
    <w:p w14:paraId="4C2764C0" w14:textId="77777777" w:rsidR="00395256" w:rsidRPr="00B92499" w:rsidRDefault="00395256" w:rsidP="004F753C">
      <w:pPr>
        <w:autoSpaceDE w:val="0"/>
        <w:autoSpaceDN w:val="0"/>
        <w:adjustRightInd w:val="0"/>
        <w:spacing w:line="360" w:lineRule="auto"/>
        <w:contextualSpacing/>
        <w:jc w:val="both"/>
        <w:rPr>
          <w:rFonts w:ascii="Arial" w:hAnsi="Arial" w:cs="Arial"/>
        </w:rPr>
      </w:pPr>
    </w:p>
    <w:p w14:paraId="1E50EDAC" w14:textId="7F8F5B22" w:rsidR="00395256" w:rsidRPr="00B92499" w:rsidRDefault="00395256" w:rsidP="004F753C">
      <w:pPr>
        <w:autoSpaceDE w:val="0"/>
        <w:autoSpaceDN w:val="0"/>
        <w:adjustRightInd w:val="0"/>
        <w:spacing w:line="360" w:lineRule="auto"/>
        <w:contextualSpacing/>
        <w:jc w:val="both"/>
        <w:rPr>
          <w:rFonts w:ascii="Arial" w:hAnsi="Arial" w:cs="Arial"/>
        </w:rPr>
      </w:pPr>
      <w:r w:rsidRPr="00B92499">
        <w:rPr>
          <w:rFonts w:ascii="Arial" w:hAnsi="Arial" w:cs="Arial"/>
        </w:rPr>
        <w:t xml:space="preserve">En atención a lo anterior, </w:t>
      </w:r>
      <w:r w:rsidR="00510E92" w:rsidRPr="00B92499">
        <w:rPr>
          <w:rFonts w:ascii="Arial" w:hAnsi="Arial" w:cs="Arial"/>
        </w:rPr>
        <w:t>en la evaluación realizada</w:t>
      </w:r>
      <w:r w:rsidRPr="00B92499">
        <w:rPr>
          <w:rFonts w:ascii="Arial" w:hAnsi="Arial" w:cs="Arial"/>
        </w:rPr>
        <w:t xml:space="preserve"> a los 35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w:t>
      </w:r>
      <w:r w:rsidR="00510E92" w:rsidRPr="00B92499">
        <w:rPr>
          <w:rFonts w:ascii="Arial" w:hAnsi="Arial" w:cs="Arial"/>
        </w:rPr>
        <w:t xml:space="preserve">se precisó </w:t>
      </w:r>
      <w:r w:rsidRPr="00B92499">
        <w:rPr>
          <w:rFonts w:ascii="Arial" w:hAnsi="Arial" w:cs="Arial"/>
        </w:rPr>
        <w:t>dentro de los Índices que se genera</w:t>
      </w:r>
      <w:r w:rsidR="00404D88" w:rsidRPr="00B92499">
        <w:rPr>
          <w:rFonts w:ascii="Arial" w:hAnsi="Arial" w:cs="Arial"/>
        </w:rPr>
        <w:t>ron</w:t>
      </w:r>
      <w:r w:rsidRPr="00B92499">
        <w:rPr>
          <w:rFonts w:ascii="Arial" w:hAnsi="Arial" w:cs="Arial"/>
        </w:rPr>
        <w:t xml:space="preserve"> cuál es el porcentaje del Índice que corresponde a información publicad</w:t>
      </w:r>
      <w:r w:rsidR="000D6661" w:rsidRPr="00B92499">
        <w:rPr>
          <w:rFonts w:ascii="Arial" w:hAnsi="Arial" w:cs="Arial"/>
        </w:rPr>
        <w:t>a</w:t>
      </w:r>
      <w:r w:rsidRPr="00B92499">
        <w:rPr>
          <w:rFonts w:ascii="Arial" w:hAnsi="Arial" w:cs="Arial"/>
        </w:rPr>
        <w:t xml:space="preserve"> y actualizada</w:t>
      </w:r>
      <w:r w:rsidR="00510E92" w:rsidRPr="00B92499">
        <w:rPr>
          <w:rFonts w:ascii="Arial" w:hAnsi="Arial" w:cs="Arial"/>
        </w:rPr>
        <w:t>, por una parte,</w:t>
      </w:r>
      <w:r w:rsidRPr="00B92499">
        <w:rPr>
          <w:rFonts w:ascii="Arial" w:hAnsi="Arial" w:cs="Arial"/>
        </w:rPr>
        <w:t xml:space="preserve"> y cuál</w:t>
      </w:r>
      <w:r w:rsidR="00510E92" w:rsidRPr="00B92499">
        <w:rPr>
          <w:rFonts w:ascii="Arial" w:hAnsi="Arial" w:cs="Arial"/>
        </w:rPr>
        <w:t>, por la otra,</w:t>
      </w:r>
      <w:r w:rsidRPr="00B92499">
        <w:rPr>
          <w:rFonts w:ascii="Arial" w:hAnsi="Arial" w:cs="Arial"/>
        </w:rPr>
        <w:t xml:space="preserve"> hace referencia a la publicación y actualización de notas aclaratorias.</w:t>
      </w:r>
    </w:p>
    <w:p w14:paraId="21BAA3BF"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10289C13" w14:textId="18599D6B"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Es importante precisar </w:t>
      </w:r>
      <w:r w:rsidR="00D424B6" w:rsidRPr="00B92499">
        <w:rPr>
          <w:rFonts w:ascii="Arial" w:hAnsi="Arial" w:cs="Arial"/>
        </w:rPr>
        <w:t>que,</w:t>
      </w:r>
      <w:r w:rsidRPr="00B92499">
        <w:rPr>
          <w:rFonts w:ascii="Arial" w:hAnsi="Arial" w:cs="Arial"/>
        </w:rPr>
        <w:t xml:space="preserve"> por su diseño, el IGOT asume valores en el rango de 0 a 100</w:t>
      </w:r>
      <w:r w:rsidR="00510E92" w:rsidRPr="00B92499">
        <w:rPr>
          <w:rFonts w:ascii="Arial" w:hAnsi="Arial" w:cs="Arial"/>
        </w:rPr>
        <w:t xml:space="preserve"> puntos</w:t>
      </w:r>
      <w:r w:rsidRPr="00B92499">
        <w:rPr>
          <w:rFonts w:ascii="Arial" w:hAnsi="Arial" w:cs="Arial"/>
        </w:rPr>
        <w:t xml:space="preserve">, escala en la que el valor mínimo representa un incumplimiento total de las obligaciones; valores superiores a 0 y hasta 59.99, representan un grado parcial de incumplimiento; valores de 60 a 99.99 representan un cumplimiento parcial; en tanto que 100 representa el cabal cumplimiento de las obligaciones previstas por la Ley de Transparencia. </w:t>
      </w:r>
    </w:p>
    <w:p w14:paraId="00F83589"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4D2A77D3" w14:textId="7DC59BD7"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Con el objetivo de generar un documento que proporcione de forma </w:t>
      </w:r>
      <w:r w:rsidR="00510E92" w:rsidRPr="00B92499">
        <w:rPr>
          <w:rFonts w:ascii="Arial" w:hAnsi="Arial" w:cs="Arial"/>
        </w:rPr>
        <w:t xml:space="preserve">global </w:t>
      </w:r>
      <w:r w:rsidRPr="00B92499">
        <w:rPr>
          <w:rFonts w:ascii="Arial" w:hAnsi="Arial" w:cs="Arial"/>
        </w:rPr>
        <w:t>los resultados obtenidos, la DEAEE realiz</w:t>
      </w:r>
      <w:r w:rsidR="00114E33" w:rsidRPr="00B92499">
        <w:rPr>
          <w:rFonts w:ascii="Arial" w:hAnsi="Arial" w:cs="Arial"/>
        </w:rPr>
        <w:t>ó</w:t>
      </w:r>
      <w:r w:rsidRPr="00B92499">
        <w:rPr>
          <w:rFonts w:ascii="Arial" w:hAnsi="Arial" w:cs="Arial"/>
        </w:rPr>
        <w:t xml:space="preserve"> un informe respecto de la </w:t>
      </w:r>
      <w:r w:rsidR="00395256" w:rsidRPr="00B92499">
        <w:rPr>
          <w:rFonts w:ascii="Arial" w:hAnsi="Arial" w:cs="Arial"/>
        </w:rPr>
        <w:t>Segunda Evaluación</w:t>
      </w:r>
      <w:r w:rsidRPr="00B92499">
        <w:rPr>
          <w:rFonts w:ascii="Arial" w:hAnsi="Arial" w:cs="Arial"/>
        </w:rPr>
        <w:t xml:space="preserve"> Vinculante 2019</w:t>
      </w:r>
      <w:r w:rsidR="00510E92" w:rsidRPr="00B92499">
        <w:rPr>
          <w:rFonts w:ascii="Arial" w:hAnsi="Arial" w:cs="Arial"/>
        </w:rPr>
        <w:t xml:space="preserve">, </w:t>
      </w:r>
      <w:r w:rsidRPr="00B92499">
        <w:rPr>
          <w:rFonts w:ascii="Arial" w:hAnsi="Arial" w:cs="Arial"/>
        </w:rPr>
        <w:t xml:space="preserve">dividida por </w:t>
      </w:r>
      <w:r w:rsidR="00C816B9" w:rsidRPr="00B92499">
        <w:rPr>
          <w:rFonts w:ascii="Arial" w:hAnsi="Arial" w:cs="Arial"/>
        </w:rPr>
        <w:t xml:space="preserve">ámbitos </w:t>
      </w:r>
      <w:r w:rsidR="00510E92" w:rsidRPr="00B92499">
        <w:rPr>
          <w:rFonts w:ascii="Arial" w:hAnsi="Arial" w:cs="Arial"/>
        </w:rPr>
        <w:t xml:space="preserve">. En dicho informe se </w:t>
      </w:r>
      <w:r w:rsidRPr="00B92499">
        <w:rPr>
          <w:rFonts w:ascii="Arial" w:hAnsi="Arial" w:cs="Arial"/>
        </w:rPr>
        <w:t xml:space="preserve">indica cuáles fueron los </w:t>
      </w:r>
      <w:r w:rsidR="00D424B6" w:rsidRPr="00B92499">
        <w:rPr>
          <w:rFonts w:ascii="Arial" w:hAnsi="Arial" w:cs="Arial"/>
        </w:rPr>
        <w:t>a</w:t>
      </w:r>
      <w:r w:rsidR="009D7771" w:rsidRPr="00B92499">
        <w:rPr>
          <w:rFonts w:ascii="Arial" w:hAnsi="Arial" w:cs="Arial"/>
        </w:rPr>
        <w:t>rtículo</w:t>
      </w:r>
      <w:r w:rsidRPr="00B92499">
        <w:rPr>
          <w:rFonts w:ascii="Arial" w:hAnsi="Arial" w:cs="Arial"/>
        </w:rPr>
        <w:t>s y fracciones en los</w:t>
      </w:r>
      <w:r w:rsidR="00510E92" w:rsidRPr="00B92499">
        <w:rPr>
          <w:rFonts w:ascii="Arial" w:hAnsi="Arial" w:cs="Arial"/>
        </w:rPr>
        <w:t xml:space="preserve"> que el conjunto de sujetos obligados en cada ámbito</w:t>
      </w:r>
      <w:r w:rsidRPr="00B92499">
        <w:rPr>
          <w:rFonts w:ascii="Arial" w:hAnsi="Arial" w:cs="Arial"/>
        </w:rPr>
        <w:t xml:space="preserve"> cumplen con </w:t>
      </w:r>
      <w:r w:rsidR="00510E92" w:rsidRPr="00B92499">
        <w:rPr>
          <w:rFonts w:ascii="Arial" w:hAnsi="Arial" w:cs="Arial"/>
        </w:rPr>
        <w:t xml:space="preserve">las obligaciones señaladas </w:t>
      </w:r>
      <w:r w:rsidRPr="00B92499">
        <w:rPr>
          <w:rFonts w:ascii="Arial" w:hAnsi="Arial" w:cs="Arial"/>
        </w:rPr>
        <w:t xml:space="preserve">en la Ley; así como cuál información es la que no están publicando, actualizando, o </w:t>
      </w:r>
      <w:r w:rsidR="00510E92" w:rsidRPr="00B92499">
        <w:rPr>
          <w:rFonts w:ascii="Arial" w:hAnsi="Arial" w:cs="Arial"/>
        </w:rPr>
        <w:t>(</w:t>
      </w:r>
      <w:r w:rsidRPr="00B92499">
        <w:rPr>
          <w:rFonts w:ascii="Arial" w:hAnsi="Arial" w:cs="Arial"/>
        </w:rPr>
        <w:t xml:space="preserve">en el caso de </w:t>
      </w:r>
      <w:r w:rsidR="00510E92" w:rsidRPr="00B92499">
        <w:rPr>
          <w:rFonts w:ascii="Arial" w:hAnsi="Arial" w:cs="Arial"/>
        </w:rPr>
        <w:t xml:space="preserve">haberla publicado) que </w:t>
      </w:r>
      <w:r w:rsidRPr="00B92499">
        <w:rPr>
          <w:rFonts w:ascii="Arial" w:hAnsi="Arial" w:cs="Arial"/>
        </w:rPr>
        <w:t>presente áreas de oportunidad y mejora.</w:t>
      </w:r>
    </w:p>
    <w:p w14:paraId="7143B630" w14:textId="77777777" w:rsidR="005A0F6E" w:rsidRPr="00B92499" w:rsidRDefault="005A0F6E" w:rsidP="002E7D47">
      <w:pPr>
        <w:contextualSpacing/>
        <w:rPr>
          <w:rFonts w:ascii="Arial" w:hAnsi="Arial" w:cs="Arial"/>
        </w:rPr>
      </w:pPr>
      <w:r w:rsidRPr="00B92499">
        <w:rPr>
          <w:rFonts w:ascii="Arial" w:hAnsi="Arial" w:cs="Arial"/>
        </w:rPr>
        <w:br w:type="page"/>
      </w:r>
    </w:p>
    <w:p w14:paraId="4DB14141" w14:textId="77777777" w:rsidR="005A0F6E" w:rsidRPr="00B92499" w:rsidRDefault="005A0F6E" w:rsidP="002E7D47">
      <w:pPr>
        <w:pStyle w:val="Ttulo1"/>
        <w:contextualSpacing/>
        <w:jc w:val="center"/>
        <w:rPr>
          <w:rFonts w:ascii="Arial" w:hAnsi="Arial" w:cs="Arial"/>
          <w:b/>
          <w:color w:val="auto"/>
          <w:sz w:val="24"/>
        </w:rPr>
      </w:pPr>
      <w:bookmarkStart w:id="3" w:name="_Toc23252961"/>
      <w:r w:rsidRPr="00B92499">
        <w:rPr>
          <w:rFonts w:ascii="Arial" w:hAnsi="Arial" w:cs="Arial"/>
          <w:b/>
          <w:color w:val="auto"/>
          <w:sz w:val="24"/>
        </w:rPr>
        <w:lastRenderedPageBreak/>
        <w:t xml:space="preserve">SÍNTESIS DE LOS </w:t>
      </w:r>
      <w:r w:rsidR="009D7771" w:rsidRPr="00B92499">
        <w:rPr>
          <w:rFonts w:ascii="Arial" w:hAnsi="Arial" w:cs="Arial"/>
          <w:b/>
          <w:color w:val="auto"/>
          <w:sz w:val="24"/>
        </w:rPr>
        <w:t>ARTÍCULO</w:t>
      </w:r>
      <w:r w:rsidRPr="00B92499">
        <w:rPr>
          <w:rFonts w:ascii="Arial" w:hAnsi="Arial" w:cs="Arial"/>
          <w:b/>
          <w:color w:val="auto"/>
          <w:sz w:val="24"/>
        </w:rPr>
        <w:t>S DE LAS OBLIGACIONES DE TRANSPARENCIA ANALIZADOS</w:t>
      </w:r>
      <w:bookmarkEnd w:id="3"/>
    </w:p>
    <w:p w14:paraId="24213128"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8679D81" w14:textId="6FD19514" w:rsidR="005A0F6E" w:rsidRPr="00B92499" w:rsidRDefault="005A0F6E" w:rsidP="002E7D47">
      <w:pPr>
        <w:pStyle w:val="Ttulo2"/>
        <w:contextualSpacing/>
        <w:rPr>
          <w:rFonts w:ascii="Arial" w:hAnsi="Arial" w:cs="Arial"/>
          <w:b/>
        </w:rPr>
      </w:pPr>
      <w:bookmarkStart w:id="4" w:name="_Toc23252962"/>
      <w:r w:rsidRPr="00B92499">
        <w:rPr>
          <w:rFonts w:ascii="Arial" w:hAnsi="Arial" w:cs="Arial"/>
          <w:b/>
          <w:color w:val="auto"/>
          <w:sz w:val="24"/>
        </w:rPr>
        <w:t xml:space="preserve">Obligaciones Comunes de la Ley </w:t>
      </w:r>
      <w:r w:rsidR="00510E92" w:rsidRPr="00B92499">
        <w:rPr>
          <w:rFonts w:ascii="Arial" w:hAnsi="Arial" w:cs="Arial"/>
          <w:b/>
          <w:color w:val="auto"/>
          <w:sz w:val="24"/>
        </w:rPr>
        <w:t xml:space="preserve">local </w:t>
      </w:r>
      <w:r w:rsidRPr="00B92499">
        <w:rPr>
          <w:rFonts w:ascii="Arial" w:hAnsi="Arial" w:cs="Arial"/>
          <w:b/>
          <w:color w:val="auto"/>
          <w:sz w:val="24"/>
        </w:rPr>
        <w:t>de Transparencia</w:t>
      </w:r>
      <w:bookmarkEnd w:id="4"/>
    </w:p>
    <w:p w14:paraId="2A122CC4" w14:textId="77777777" w:rsidR="005A0F6E" w:rsidRPr="00B92499" w:rsidRDefault="005A0F6E" w:rsidP="002E7D47">
      <w:pPr>
        <w:autoSpaceDE w:val="0"/>
        <w:autoSpaceDN w:val="0"/>
        <w:adjustRightInd w:val="0"/>
        <w:spacing w:line="360" w:lineRule="auto"/>
        <w:contextualSpacing/>
        <w:jc w:val="both"/>
        <w:rPr>
          <w:rFonts w:ascii="Arial" w:hAnsi="Arial" w:cs="Arial"/>
          <w:b/>
        </w:rPr>
      </w:pPr>
    </w:p>
    <w:p w14:paraId="164C18F2" w14:textId="228D540A"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Las obligaciones comunes son aquellas que le son aplicables a todos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sin importar su naturaleza; debido a que </w:t>
      </w:r>
      <w:r w:rsidR="00510E92" w:rsidRPr="00B92499">
        <w:rPr>
          <w:rFonts w:ascii="Arial" w:hAnsi="Arial" w:cs="Arial"/>
        </w:rPr>
        <w:t>refieren</w:t>
      </w:r>
      <w:r w:rsidRPr="00B92499">
        <w:rPr>
          <w:rFonts w:ascii="Arial" w:hAnsi="Arial" w:cs="Arial"/>
        </w:rPr>
        <w:t xml:space="preserve"> información que todo </w:t>
      </w:r>
      <w:r w:rsidR="008710F6" w:rsidRPr="00B92499">
        <w:rPr>
          <w:rFonts w:ascii="Arial" w:hAnsi="Arial" w:cs="Arial"/>
        </w:rPr>
        <w:t>sujeto obligado</w:t>
      </w:r>
      <w:r w:rsidRPr="00B92499">
        <w:rPr>
          <w:rFonts w:ascii="Arial" w:hAnsi="Arial" w:cs="Arial"/>
        </w:rPr>
        <w:t xml:space="preserve"> genera, posee, utiliza y resguarda. </w:t>
      </w:r>
    </w:p>
    <w:p w14:paraId="0065C92B"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5BE33483" w14:textId="0B41AC7D"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121 </w:t>
      </w:r>
      <w:r w:rsidR="00510E92" w:rsidRPr="00B92499">
        <w:rPr>
          <w:rFonts w:ascii="Arial" w:hAnsi="Arial" w:cs="Arial"/>
        </w:rPr>
        <w:t xml:space="preserve">de la ley local de transparencia </w:t>
      </w:r>
      <w:r w:rsidRPr="00B92499">
        <w:rPr>
          <w:rFonts w:ascii="Arial" w:hAnsi="Arial" w:cs="Arial"/>
        </w:rPr>
        <w:t xml:space="preserve">se integra por 54 fracciones, en las que se mandata la publicación de información como el marco normativo, estructura orgánica, facultades y funciones de cada área, metas y objetivos de las áreas, indicadores, programas operativos anuales, el directorio, la remuneración de los servidores públicos, el número total de plazas y tipo de estas, las contrataciones por servicios profesionales, </w:t>
      </w:r>
      <w:r w:rsidR="004B6BFD" w:rsidRPr="00B92499">
        <w:rPr>
          <w:rFonts w:ascii="Arial" w:hAnsi="Arial" w:cs="Arial"/>
        </w:rPr>
        <w:t>las</w:t>
      </w:r>
      <w:r w:rsidRPr="00B92499">
        <w:rPr>
          <w:rFonts w:ascii="Arial" w:hAnsi="Arial" w:cs="Arial"/>
        </w:rPr>
        <w:t xml:space="preserve"> declaraciones patrimoniales, domicilio de la unidad de transparencia, información de las personas servidoras públicas con sanciones administrativas, información financiera sobre el presupuesto asignado, dictámenes de cu</w:t>
      </w:r>
      <w:r w:rsidR="00327FB1" w:rsidRPr="00B92499">
        <w:rPr>
          <w:rFonts w:ascii="Arial" w:hAnsi="Arial" w:cs="Arial"/>
        </w:rPr>
        <w:t>en</w:t>
      </w:r>
      <w:r w:rsidRPr="00B92499">
        <w:rPr>
          <w:rFonts w:ascii="Arial" w:hAnsi="Arial" w:cs="Arial"/>
        </w:rPr>
        <w:t xml:space="preserve">ta pública, los contratos y convenios celebrados, información sobre los procedimientos de adjudicación directa, invitación restringida y licitaciones; entre otros. </w:t>
      </w:r>
    </w:p>
    <w:p w14:paraId="366260C8"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7279CB0" w14:textId="781CC4F7"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122 </w:t>
      </w:r>
      <w:r w:rsidR="00510E92" w:rsidRPr="00B92499">
        <w:rPr>
          <w:rFonts w:ascii="Arial" w:hAnsi="Arial" w:cs="Arial"/>
        </w:rPr>
        <w:t xml:space="preserve">de la misma ley </w:t>
      </w:r>
      <w:r w:rsidRPr="00B92499">
        <w:rPr>
          <w:rFonts w:ascii="Arial" w:hAnsi="Arial" w:cs="Arial"/>
        </w:rPr>
        <w:t>se integra por</w:t>
      </w:r>
      <w:r w:rsidR="000D67A7" w:rsidRPr="00B92499">
        <w:rPr>
          <w:rFonts w:ascii="Arial" w:hAnsi="Arial" w:cs="Arial"/>
        </w:rPr>
        <w:t xml:space="preserve"> 3 </w:t>
      </w:r>
      <w:r w:rsidRPr="00B92499">
        <w:rPr>
          <w:rFonts w:ascii="Arial" w:hAnsi="Arial" w:cs="Arial"/>
        </w:rPr>
        <w:t xml:space="preserve">fracciones en las cuales </w:t>
      </w:r>
      <w:r w:rsidR="00510E92" w:rsidRPr="00B92499">
        <w:rPr>
          <w:rFonts w:ascii="Arial" w:hAnsi="Arial" w:cs="Arial"/>
        </w:rPr>
        <w:t>se señala</w:t>
      </w:r>
      <w:r w:rsidRPr="00B92499">
        <w:rPr>
          <w:rFonts w:ascii="Arial" w:hAnsi="Arial" w:cs="Arial"/>
        </w:rPr>
        <w:t xml:space="preserve"> la obligación de publicar información en materia de programas sociales, de ayuda, subsidios, estímulos y apoyos. </w:t>
      </w:r>
    </w:p>
    <w:p w14:paraId="45B30971"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007E177C" w14:textId="196662F0" w:rsidR="005A0F6E" w:rsidRPr="00B92499" w:rsidRDefault="005A0F6E" w:rsidP="002E7D47">
      <w:pPr>
        <w:pStyle w:val="Ttulo2"/>
        <w:contextualSpacing/>
        <w:rPr>
          <w:rFonts w:ascii="Arial" w:hAnsi="Arial" w:cs="Arial"/>
          <w:b/>
          <w:color w:val="auto"/>
          <w:sz w:val="24"/>
        </w:rPr>
      </w:pPr>
      <w:bookmarkStart w:id="5" w:name="_Toc23252963"/>
      <w:r w:rsidRPr="00B92499">
        <w:rPr>
          <w:rFonts w:ascii="Arial" w:hAnsi="Arial" w:cs="Arial"/>
          <w:b/>
          <w:color w:val="auto"/>
          <w:sz w:val="24"/>
        </w:rPr>
        <w:t xml:space="preserve">Obligaciones Específicas de la Ley </w:t>
      </w:r>
      <w:r w:rsidR="00510E92" w:rsidRPr="00B92499">
        <w:rPr>
          <w:rFonts w:ascii="Arial" w:hAnsi="Arial" w:cs="Arial"/>
          <w:b/>
          <w:color w:val="auto"/>
          <w:sz w:val="24"/>
        </w:rPr>
        <w:t xml:space="preserve">local </w:t>
      </w:r>
      <w:r w:rsidRPr="00B92499">
        <w:rPr>
          <w:rFonts w:ascii="Arial" w:hAnsi="Arial" w:cs="Arial"/>
          <w:b/>
          <w:color w:val="auto"/>
          <w:sz w:val="24"/>
        </w:rPr>
        <w:t>de Transparencia</w:t>
      </w:r>
      <w:bookmarkEnd w:id="5"/>
    </w:p>
    <w:p w14:paraId="0057A4F3"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3D5FBAE5" w14:textId="07EE5573"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Las obligaciones específicas se integran por </w:t>
      </w:r>
      <w:r w:rsidR="00510E92" w:rsidRPr="00B92499">
        <w:rPr>
          <w:rFonts w:ascii="Arial" w:hAnsi="Arial" w:cs="Arial"/>
        </w:rPr>
        <w:t xml:space="preserve">trece </w:t>
      </w:r>
      <w:r w:rsidRPr="00B92499">
        <w:rPr>
          <w:rFonts w:ascii="Arial" w:hAnsi="Arial" w:cs="Arial"/>
        </w:rPr>
        <w:t>secciones y hacen referencia a la información que</w:t>
      </w:r>
      <w:r w:rsidR="00510E92" w:rsidRPr="00B92499">
        <w:rPr>
          <w:rFonts w:ascii="Arial" w:hAnsi="Arial" w:cs="Arial"/>
        </w:rPr>
        <w:t>,</w:t>
      </w:r>
      <w:r w:rsidRPr="00B92499">
        <w:rPr>
          <w:rFonts w:ascii="Arial" w:hAnsi="Arial" w:cs="Arial"/>
        </w:rPr>
        <w:t xml:space="preserve"> dependiendo de la naturaleza de cada </w:t>
      </w:r>
      <w:r w:rsidR="008710F6" w:rsidRPr="00B92499">
        <w:rPr>
          <w:rFonts w:ascii="Arial" w:hAnsi="Arial" w:cs="Arial"/>
        </w:rPr>
        <w:t>sujeto obligado</w:t>
      </w:r>
      <w:r w:rsidRPr="00B92499">
        <w:rPr>
          <w:rFonts w:ascii="Arial" w:hAnsi="Arial" w:cs="Arial"/>
        </w:rPr>
        <w:t>, debe generar, poseer, utilizar y resguardar.</w:t>
      </w:r>
    </w:p>
    <w:p w14:paraId="1C91C682"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1F79391A" w14:textId="64F817A3"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lastRenderedPageBreak/>
        <w:t xml:space="preserve">La sección primera se integra por el </w:t>
      </w:r>
      <w:r w:rsidR="008F67E4" w:rsidRPr="00B92499">
        <w:rPr>
          <w:rFonts w:ascii="Arial" w:hAnsi="Arial" w:cs="Arial"/>
        </w:rPr>
        <w:t>artículo</w:t>
      </w:r>
      <w:r w:rsidRPr="00B92499">
        <w:rPr>
          <w:rFonts w:ascii="Arial" w:hAnsi="Arial" w:cs="Arial"/>
        </w:rPr>
        <w:t xml:space="preserve"> 123</w:t>
      </w:r>
      <w:r w:rsidR="00114E33" w:rsidRPr="00B92499">
        <w:rPr>
          <w:rStyle w:val="Refdenotaalpie"/>
          <w:rFonts w:ascii="Arial" w:hAnsi="Arial" w:cs="Arial"/>
        </w:rPr>
        <w:footnoteReference w:id="1"/>
      </w:r>
      <w:r w:rsidRPr="00B92499">
        <w:rPr>
          <w:rFonts w:ascii="Arial" w:hAnsi="Arial" w:cs="Arial"/>
        </w:rPr>
        <w:t xml:space="preserve"> y hace referencia a las obligaciones del Poder Ejecutivo; en </w:t>
      </w:r>
      <w:r w:rsidR="00DD643E" w:rsidRPr="00B92499">
        <w:rPr>
          <w:rFonts w:ascii="Arial" w:hAnsi="Arial" w:cs="Arial"/>
        </w:rPr>
        <w:t xml:space="preserve">ella </w:t>
      </w:r>
      <w:r w:rsidRPr="00B92499">
        <w:rPr>
          <w:rFonts w:ascii="Arial" w:hAnsi="Arial" w:cs="Arial"/>
        </w:rPr>
        <w:t>se contemplan obligaciones consistentes en publicar las iniciativas de leyes o demás decretos en materia administrativa, el Programa General de Desarrollo de la Ciudad de México, el Presupuesto de Egresos y las fórmulas de distribución, el listado de expropiaciones decretadas y ejecutadas, el listado de patentes de corredores y notarios públicos, información detallada que contengan los planes de desarrollo urbano, reglamentos de leyes expedidos, los usos de suelo a través de mapas y planos</w:t>
      </w:r>
      <w:r w:rsidR="004B6BFD" w:rsidRPr="00B92499">
        <w:rPr>
          <w:rFonts w:ascii="Arial" w:hAnsi="Arial" w:cs="Arial"/>
        </w:rPr>
        <w:t>,</w:t>
      </w:r>
      <w:r w:rsidRPr="00B92499">
        <w:rPr>
          <w:rFonts w:ascii="Arial" w:hAnsi="Arial" w:cs="Arial"/>
        </w:rPr>
        <w:t xml:space="preserve"> información sobre la calidad del agua, manifestaciones de impacto ambiental y estudios de la calidad del aire. </w:t>
      </w:r>
    </w:p>
    <w:p w14:paraId="0890660D"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6A7BEC4" w14:textId="330B0738"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segunda se conforma por el </w:t>
      </w:r>
      <w:r w:rsidR="008F67E4" w:rsidRPr="00B92499">
        <w:rPr>
          <w:rFonts w:ascii="Arial" w:hAnsi="Arial" w:cs="Arial"/>
        </w:rPr>
        <w:t>artículo</w:t>
      </w:r>
      <w:r w:rsidRPr="00B92499">
        <w:rPr>
          <w:rFonts w:ascii="Arial" w:hAnsi="Arial" w:cs="Arial"/>
        </w:rPr>
        <w:t xml:space="preserve"> 124 y hace referencia a los </w:t>
      </w:r>
      <w:r w:rsidR="00D14851" w:rsidRPr="00B92499">
        <w:rPr>
          <w:rFonts w:ascii="Arial" w:hAnsi="Arial" w:cs="Arial"/>
        </w:rPr>
        <w:t>órganos político administrativos</w:t>
      </w:r>
      <w:r w:rsidRPr="00B92499">
        <w:rPr>
          <w:rFonts w:ascii="Arial" w:hAnsi="Arial" w:cs="Arial"/>
        </w:rPr>
        <w:t xml:space="preserve">, </w:t>
      </w:r>
      <w:r w:rsidR="00D14851" w:rsidRPr="00B92499">
        <w:rPr>
          <w:rFonts w:ascii="Arial" w:hAnsi="Arial" w:cs="Arial"/>
        </w:rPr>
        <w:t xml:space="preserve">alcaldías </w:t>
      </w:r>
      <w:r w:rsidRPr="00B92499">
        <w:rPr>
          <w:rFonts w:ascii="Arial" w:hAnsi="Arial" w:cs="Arial"/>
        </w:rPr>
        <w:t xml:space="preserve">o </w:t>
      </w:r>
      <w:r w:rsidR="00D14851" w:rsidRPr="00B92499">
        <w:rPr>
          <w:rFonts w:ascii="Arial" w:hAnsi="Arial" w:cs="Arial"/>
        </w:rPr>
        <w:t>demarcaciones territoriales</w:t>
      </w:r>
      <w:r w:rsidRPr="00B92499">
        <w:rPr>
          <w:rFonts w:ascii="Arial" w:hAnsi="Arial" w:cs="Arial"/>
        </w:rPr>
        <w:t xml:space="preserve">; en </w:t>
      </w:r>
      <w:r w:rsidR="00DD643E" w:rsidRPr="00B92499">
        <w:rPr>
          <w:rFonts w:ascii="Arial" w:hAnsi="Arial" w:cs="Arial"/>
        </w:rPr>
        <w:t xml:space="preserve">esta sección </w:t>
      </w:r>
      <w:r w:rsidRPr="00B92499">
        <w:rPr>
          <w:rFonts w:ascii="Arial" w:hAnsi="Arial" w:cs="Arial"/>
        </w:rPr>
        <w:t xml:space="preserve">se contemplan obligaciones consistentes en publicar los indicadores oficiales de los servicios públicos, el calendario con las actividades culturales, deportivas y recreativas, el calendario trimestral sobre el ejercicio del presupuesto, los programas de ayudas y subsidios, los gastos realizados por concepto de asesorías, el padrón de contralores ciudadanos, información respecto a la recolección de basura, el programa de Seguridad Pública, entre otros. </w:t>
      </w:r>
    </w:p>
    <w:p w14:paraId="0C4E27F8"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D600280" w14:textId="3918A6A3"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tercera sección se integra por el </w:t>
      </w:r>
      <w:r w:rsidR="008F67E4" w:rsidRPr="00B92499">
        <w:rPr>
          <w:rFonts w:ascii="Arial" w:hAnsi="Arial" w:cs="Arial"/>
        </w:rPr>
        <w:t>artículo</w:t>
      </w:r>
      <w:r w:rsidRPr="00B92499">
        <w:rPr>
          <w:rFonts w:ascii="Arial" w:hAnsi="Arial" w:cs="Arial"/>
        </w:rPr>
        <w:t xml:space="preserve"> 125 y hace referencia al Poder Legislativo</w:t>
      </w:r>
      <w:r w:rsidR="00DD643E" w:rsidRPr="00B92499">
        <w:rPr>
          <w:rFonts w:ascii="Arial" w:hAnsi="Arial" w:cs="Arial"/>
        </w:rPr>
        <w:t xml:space="preserve">; </w:t>
      </w:r>
      <w:r w:rsidRPr="00B92499">
        <w:rPr>
          <w:rFonts w:ascii="Arial" w:hAnsi="Arial" w:cs="Arial"/>
        </w:rPr>
        <w:t xml:space="preserve">en </w:t>
      </w:r>
      <w:r w:rsidR="00DD643E" w:rsidRPr="00B92499">
        <w:rPr>
          <w:rFonts w:ascii="Arial" w:hAnsi="Arial" w:cs="Arial"/>
        </w:rPr>
        <w:t xml:space="preserve">esta </w:t>
      </w:r>
      <w:r w:rsidRPr="00B92499">
        <w:rPr>
          <w:rFonts w:ascii="Arial" w:hAnsi="Arial" w:cs="Arial"/>
        </w:rPr>
        <w:t xml:space="preserve">se contemplan </w:t>
      </w:r>
      <w:r w:rsidR="00DD643E" w:rsidRPr="00B92499">
        <w:rPr>
          <w:rFonts w:ascii="Arial" w:hAnsi="Arial" w:cs="Arial"/>
        </w:rPr>
        <w:t xml:space="preserve">las </w:t>
      </w:r>
      <w:r w:rsidRPr="00B92499">
        <w:rPr>
          <w:rFonts w:ascii="Arial" w:hAnsi="Arial" w:cs="Arial"/>
        </w:rPr>
        <w:t xml:space="preserve">obligaciones consistentes en publicar la ficha técnica por cada Diputado y Diputada, la agenda legislativa, gaceta parlamentaria, el orden del día de las Sesiones del Pleno, el Diario de Debates, las versiones estenográficas, las leyes, decretos y acuerdo aprobados, solicitudes de licencias, contrataciones de asesorías y servicios personales, el informe anual del gasto, el padrón de cabilderos, la lista de los integrantes del Comité de Adquisiciones, la descripción general del poder legislativo, entre otros. </w:t>
      </w:r>
    </w:p>
    <w:p w14:paraId="574CC52F"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3735905D" w14:textId="05B73C1A"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lastRenderedPageBreak/>
        <w:t xml:space="preserve">La sección cuarta versa sobre </w:t>
      </w:r>
      <w:r w:rsidR="00DD643E" w:rsidRPr="00B92499">
        <w:rPr>
          <w:rFonts w:ascii="Arial" w:hAnsi="Arial" w:cs="Arial"/>
        </w:rPr>
        <w:t>las obligaciones d</w:t>
      </w:r>
      <w:r w:rsidRPr="00B92499">
        <w:rPr>
          <w:rFonts w:ascii="Arial" w:hAnsi="Arial" w:cs="Arial"/>
        </w:rPr>
        <w:t>el Poder Judicial</w:t>
      </w:r>
      <w:r w:rsidR="00DD643E" w:rsidRPr="00B92499">
        <w:rPr>
          <w:rFonts w:ascii="Arial" w:hAnsi="Arial" w:cs="Arial"/>
        </w:rPr>
        <w:t xml:space="preserve"> en materia de transparencia</w:t>
      </w:r>
      <w:r w:rsidRPr="00B92499">
        <w:rPr>
          <w:rFonts w:ascii="Arial" w:hAnsi="Arial" w:cs="Arial"/>
        </w:rPr>
        <w:t>, y se integra por</w:t>
      </w:r>
      <w:r w:rsidR="00DD643E" w:rsidRPr="00B92499">
        <w:rPr>
          <w:rFonts w:ascii="Arial" w:hAnsi="Arial" w:cs="Arial"/>
        </w:rPr>
        <w:t xml:space="preserve"> las disposiciones</w:t>
      </w:r>
      <w:r w:rsidRPr="00B92499">
        <w:rPr>
          <w:rFonts w:ascii="Arial" w:hAnsi="Arial" w:cs="Arial"/>
        </w:rPr>
        <w:t xml:space="preserve"> </w:t>
      </w:r>
      <w:r w:rsidR="00DD643E" w:rsidRPr="00B92499">
        <w:rPr>
          <w:rFonts w:ascii="Arial" w:hAnsi="Arial" w:cs="Arial"/>
        </w:rPr>
        <w:t>d</w:t>
      </w: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126, apartado primero, que </w:t>
      </w:r>
      <w:r w:rsidR="00DD643E" w:rsidRPr="00B92499">
        <w:rPr>
          <w:rFonts w:ascii="Arial" w:hAnsi="Arial" w:cs="Arial"/>
        </w:rPr>
        <w:t xml:space="preserve">refiere </w:t>
      </w:r>
      <w:r w:rsidRPr="00B92499">
        <w:rPr>
          <w:rFonts w:ascii="Arial" w:hAnsi="Arial" w:cs="Arial"/>
        </w:rPr>
        <w:t xml:space="preserve">las obligaciones del Tribunal Superior de Justicia y al Tribunal Contencioso Administrativo de la Ciudad de México y, apartado segundo, que contempla al Consejo de la Judicatura de la Ciudad de México. La información que se mandata publicar </w:t>
      </w:r>
      <w:r w:rsidR="00DD643E" w:rsidRPr="00B92499">
        <w:rPr>
          <w:rFonts w:ascii="Arial" w:hAnsi="Arial" w:cs="Arial"/>
        </w:rPr>
        <w:t>incluye</w:t>
      </w:r>
      <w:r w:rsidRPr="00B92499">
        <w:rPr>
          <w:rFonts w:ascii="Arial" w:hAnsi="Arial" w:cs="Arial"/>
        </w:rPr>
        <w:t xml:space="preserve"> la versión estenográfica de las Sesiones del Pleno, votación de los acuerdo</w:t>
      </w:r>
      <w:r w:rsidR="00D424B6" w:rsidRPr="00B92499">
        <w:rPr>
          <w:rFonts w:ascii="Arial" w:hAnsi="Arial" w:cs="Arial"/>
        </w:rPr>
        <w:t>s</w:t>
      </w:r>
      <w:r w:rsidRPr="00B92499">
        <w:rPr>
          <w:rFonts w:ascii="Arial" w:hAnsi="Arial" w:cs="Arial"/>
        </w:rPr>
        <w:t xml:space="preserve"> sometidos a consideración del Pleno, estadística judicial, las resoluciones y expedientes judi</w:t>
      </w:r>
      <w:r w:rsidR="004B6BFD" w:rsidRPr="00B92499">
        <w:rPr>
          <w:rFonts w:ascii="Arial" w:hAnsi="Arial" w:cs="Arial"/>
        </w:rPr>
        <w:t>ciales y administrativos, carrer</w:t>
      </w:r>
      <w:r w:rsidRPr="00B92499">
        <w:rPr>
          <w:rFonts w:ascii="Arial" w:hAnsi="Arial" w:cs="Arial"/>
        </w:rPr>
        <w:t xml:space="preserve">a judicial, convocatorias, registro de aspirante, inventario de los bienes muebles, el boletín judicial, las versiones públicas de la sentencias, entre otros. </w:t>
      </w:r>
    </w:p>
    <w:p w14:paraId="1CF01608"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4189E701" w14:textId="618966F1"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quinta se integra por el </w:t>
      </w:r>
      <w:r w:rsidR="008F67E4" w:rsidRPr="00B92499">
        <w:rPr>
          <w:rFonts w:ascii="Arial" w:hAnsi="Arial" w:cs="Arial"/>
        </w:rPr>
        <w:t>artículo</w:t>
      </w:r>
      <w:r w:rsidRPr="00B92499">
        <w:rPr>
          <w:rFonts w:ascii="Arial" w:hAnsi="Arial" w:cs="Arial"/>
        </w:rPr>
        <w:t xml:space="preserve"> 127 y refiere a la Auditoría Superior de la Ciudad de México, las obligaciones que contempla se refieren al Programa General de Auditoría, los resultados de las auditorías concluidas al ejercicio presupuestal, el avance trimestral en la ejecución de su programa general de auditoría, la información relativa a las solventaciones o aclaraciones de los resultados derivados de las auditorías concluidas, entre otros.</w:t>
      </w:r>
    </w:p>
    <w:p w14:paraId="626FF0BF"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B73B1FD" w14:textId="3168222F"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sexta </w:t>
      </w:r>
      <w:r w:rsidR="00D14851" w:rsidRPr="00B92499">
        <w:rPr>
          <w:rFonts w:ascii="Arial" w:hAnsi="Arial" w:cs="Arial"/>
        </w:rPr>
        <w:t>se integra</w:t>
      </w:r>
      <w:r w:rsidRPr="00B92499">
        <w:rPr>
          <w:rFonts w:ascii="Arial" w:hAnsi="Arial" w:cs="Arial"/>
        </w:rPr>
        <w:t xml:space="preserve"> por </w:t>
      </w:r>
      <w:r w:rsidR="00D14851" w:rsidRPr="00B92499">
        <w:rPr>
          <w:rFonts w:ascii="Arial" w:hAnsi="Arial" w:cs="Arial"/>
        </w:rPr>
        <w:t>las disposiciones d</w:t>
      </w: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128</w:t>
      </w:r>
      <w:r w:rsidR="00D14851" w:rsidRPr="00B92499">
        <w:rPr>
          <w:rFonts w:ascii="Arial" w:hAnsi="Arial" w:cs="Arial"/>
        </w:rPr>
        <w:t>,</w:t>
      </w:r>
      <w:r w:rsidRPr="00B92499">
        <w:rPr>
          <w:rFonts w:ascii="Arial" w:hAnsi="Arial" w:cs="Arial"/>
        </w:rPr>
        <w:t xml:space="preserve"> que hace referencia a las </w:t>
      </w:r>
      <w:r w:rsidR="00D14851" w:rsidRPr="00B92499">
        <w:rPr>
          <w:rFonts w:ascii="Arial" w:hAnsi="Arial" w:cs="Arial"/>
        </w:rPr>
        <w:t>autoridades electorales</w:t>
      </w:r>
      <w:r w:rsidRPr="00B92499">
        <w:rPr>
          <w:rFonts w:ascii="Arial" w:hAnsi="Arial" w:cs="Arial"/>
        </w:rPr>
        <w:t>, y contempla los listados de partidos políticos, asociaciones y agrupaciones políticas, la geografía y cartografía electoral, el registro de candidatos a cargos de elección popular, los montos de financiamiento público por actividades ordinarias, de campaña y específicas, informes entregados a la autoridad electoral sobre el origen, monto y destino de los recursos, los resultados y declaraciones de validez de las elecciones, la información detallada de su estado financiero del uso y manejo de su presupuesto, entre otros.</w:t>
      </w:r>
    </w:p>
    <w:p w14:paraId="2080389D"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208A2B1" w14:textId="111CF855"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séptima sección se integra por </w:t>
      </w:r>
      <w:r w:rsidR="00D14851" w:rsidRPr="00B92499">
        <w:rPr>
          <w:rFonts w:ascii="Arial" w:hAnsi="Arial" w:cs="Arial"/>
        </w:rPr>
        <w:t xml:space="preserve">las disposiciones contempladas en </w:t>
      </w:r>
      <w:r w:rsidRPr="00B92499">
        <w:rPr>
          <w:rFonts w:ascii="Arial" w:hAnsi="Arial" w:cs="Arial"/>
        </w:rPr>
        <w:t xml:space="preserve">los </w:t>
      </w:r>
      <w:r w:rsidR="008F67E4" w:rsidRPr="00B92499">
        <w:rPr>
          <w:rFonts w:ascii="Arial" w:hAnsi="Arial" w:cs="Arial"/>
        </w:rPr>
        <w:t>artículo</w:t>
      </w:r>
      <w:r w:rsidRPr="00B92499">
        <w:rPr>
          <w:rFonts w:ascii="Arial" w:hAnsi="Arial" w:cs="Arial"/>
        </w:rPr>
        <w:t>s 129, 130 y 131. E</w:t>
      </w:r>
      <w:r w:rsidR="004B6BFD" w:rsidRPr="00B92499">
        <w:rPr>
          <w:rFonts w:ascii="Arial" w:hAnsi="Arial" w:cs="Arial"/>
        </w:rPr>
        <w:t>l</w:t>
      </w:r>
      <w:r w:rsidRPr="00B92499">
        <w:rPr>
          <w:rFonts w:ascii="Arial" w:hAnsi="Arial" w:cs="Arial"/>
        </w:rPr>
        <w:t xml:space="preserve"> </w:t>
      </w:r>
      <w:r w:rsidR="008F67E4" w:rsidRPr="00B92499">
        <w:rPr>
          <w:rFonts w:ascii="Arial" w:hAnsi="Arial" w:cs="Arial"/>
        </w:rPr>
        <w:t>artículo</w:t>
      </w:r>
      <w:r w:rsidRPr="00B92499">
        <w:rPr>
          <w:rFonts w:ascii="Arial" w:hAnsi="Arial" w:cs="Arial"/>
        </w:rPr>
        <w:t xml:space="preserve"> 129 </w:t>
      </w:r>
      <w:r w:rsidR="00D14851" w:rsidRPr="00B92499">
        <w:rPr>
          <w:rFonts w:ascii="Arial" w:hAnsi="Arial" w:cs="Arial"/>
        </w:rPr>
        <w:t xml:space="preserve">refiere </w:t>
      </w:r>
      <w:r w:rsidRPr="00B92499">
        <w:rPr>
          <w:rFonts w:ascii="Arial" w:hAnsi="Arial" w:cs="Arial"/>
        </w:rPr>
        <w:t>a las organizaciones políticas</w:t>
      </w:r>
      <w:r w:rsidR="00D14851" w:rsidRPr="00B92499">
        <w:rPr>
          <w:rFonts w:ascii="Arial" w:hAnsi="Arial" w:cs="Arial"/>
        </w:rPr>
        <w:t>,</w:t>
      </w:r>
      <w:r w:rsidRPr="00B92499">
        <w:rPr>
          <w:rFonts w:ascii="Arial" w:hAnsi="Arial" w:cs="Arial"/>
        </w:rPr>
        <w:t xml:space="preserve"> </w:t>
      </w:r>
      <w:r w:rsidR="00D14851" w:rsidRPr="00B92499">
        <w:rPr>
          <w:rFonts w:ascii="Arial" w:hAnsi="Arial" w:cs="Arial"/>
        </w:rPr>
        <w:t xml:space="preserve">y </w:t>
      </w:r>
      <w:r w:rsidRPr="00B92499">
        <w:rPr>
          <w:rFonts w:ascii="Arial" w:hAnsi="Arial" w:cs="Arial"/>
        </w:rPr>
        <w:t xml:space="preserve">contempla el padrón de afiliados o militantes de los partidos políticos, los acuerdos y resoluciones de los órganos de dirección de los partidos políticos, los convenios de participación </w:t>
      </w:r>
      <w:r w:rsidRPr="00B92499">
        <w:rPr>
          <w:rFonts w:ascii="Arial" w:hAnsi="Arial" w:cs="Arial"/>
        </w:rPr>
        <w:lastRenderedPageBreak/>
        <w:t>entre partidos políticos con organizaciones de la sociedad civil, los montos de las cuotas ordinarias y extraordinarias aportadas por sus militantes así como también los montos autorizados de financiamiento privado, el tabulador de remuneraciones que perciben los integrantes de los órganos y de los demás funcionarios partidistas, informes sobre el gasto del financiamiento público ordinario, entre otros. Por su parte</w:t>
      </w:r>
      <w:r w:rsidR="00D14851" w:rsidRPr="00B92499">
        <w:rPr>
          <w:rFonts w:ascii="Arial" w:hAnsi="Arial" w:cs="Arial"/>
        </w:rPr>
        <w:t>,</w:t>
      </w:r>
      <w:r w:rsidRPr="00B92499">
        <w:rPr>
          <w:rFonts w:ascii="Arial" w:hAnsi="Arial" w:cs="Arial"/>
        </w:rPr>
        <w:t xml:space="preserve"> </w:t>
      </w:r>
      <w:r w:rsidR="00D14851" w:rsidRPr="00B92499">
        <w:rPr>
          <w:rFonts w:ascii="Arial" w:hAnsi="Arial" w:cs="Arial"/>
        </w:rPr>
        <w:t>e</w:t>
      </w:r>
      <w:r w:rsidRPr="00B92499">
        <w:rPr>
          <w:rFonts w:ascii="Arial" w:hAnsi="Arial" w:cs="Arial"/>
        </w:rPr>
        <w:t xml:space="preserve">l </w:t>
      </w:r>
      <w:r w:rsidR="008F67E4" w:rsidRPr="00B92499">
        <w:rPr>
          <w:rFonts w:ascii="Arial" w:hAnsi="Arial" w:cs="Arial"/>
        </w:rPr>
        <w:t>artículo</w:t>
      </w:r>
      <w:r w:rsidRPr="00B92499">
        <w:rPr>
          <w:rFonts w:ascii="Arial" w:hAnsi="Arial" w:cs="Arial"/>
        </w:rPr>
        <w:t xml:space="preserve"> 130 menciona que los partidos políticos deberán mantener actualizada la información que se detalle en la legislación electoral local vigente. </w:t>
      </w:r>
      <w:r w:rsidR="00D14851" w:rsidRPr="00B92499">
        <w:rPr>
          <w:rFonts w:ascii="Arial" w:hAnsi="Arial" w:cs="Arial"/>
        </w:rPr>
        <w:t>E</w:t>
      </w:r>
      <w:r w:rsidRPr="00B92499">
        <w:rPr>
          <w:rFonts w:ascii="Arial" w:hAnsi="Arial" w:cs="Arial"/>
        </w:rPr>
        <w:t xml:space="preserve">l </w:t>
      </w:r>
      <w:r w:rsidR="008F67E4" w:rsidRPr="00B92499">
        <w:rPr>
          <w:rFonts w:ascii="Arial" w:hAnsi="Arial" w:cs="Arial"/>
        </w:rPr>
        <w:t>artículo</w:t>
      </w:r>
      <w:r w:rsidRPr="00B92499">
        <w:rPr>
          <w:rFonts w:ascii="Arial" w:hAnsi="Arial" w:cs="Arial"/>
        </w:rPr>
        <w:t xml:space="preserve"> 131 menciona que</w:t>
      </w:r>
      <w:r w:rsidR="00D14851" w:rsidRPr="00B92499">
        <w:rPr>
          <w:rFonts w:ascii="Arial" w:hAnsi="Arial" w:cs="Arial"/>
        </w:rPr>
        <w:t>,</w:t>
      </w:r>
      <w:r w:rsidRPr="00B92499">
        <w:rPr>
          <w:rFonts w:ascii="Arial" w:hAnsi="Arial" w:cs="Arial"/>
        </w:rPr>
        <w:t xml:space="preserve"> en caso de que los partidos políticos, las agrupaciones políticas y las personas morales constituidas en asociación civil que pretendan postular su candidatura independiente incumplan con las obligaciones establecidas </w:t>
      </w:r>
      <w:r w:rsidR="00D14851" w:rsidRPr="00B92499">
        <w:rPr>
          <w:rFonts w:ascii="Arial" w:hAnsi="Arial" w:cs="Arial"/>
        </w:rPr>
        <w:t>en los artículos anteriormente referidos</w:t>
      </w:r>
      <w:r w:rsidRPr="00B92499">
        <w:rPr>
          <w:rFonts w:ascii="Arial" w:hAnsi="Arial" w:cs="Arial"/>
        </w:rPr>
        <w:t xml:space="preserve">, el Instituto dará vista al </w:t>
      </w:r>
      <w:r w:rsidR="00D14851" w:rsidRPr="00B92499">
        <w:rPr>
          <w:rFonts w:ascii="Arial" w:hAnsi="Arial" w:cs="Arial"/>
        </w:rPr>
        <w:t xml:space="preserve">órgano electoral local </w:t>
      </w:r>
      <w:r w:rsidRPr="00B92499">
        <w:rPr>
          <w:rFonts w:ascii="Arial" w:hAnsi="Arial" w:cs="Arial"/>
        </w:rPr>
        <w:t xml:space="preserve">para que determine las acciones o sanciones procedentes. </w:t>
      </w:r>
    </w:p>
    <w:p w14:paraId="50566154"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1CE0A544" w14:textId="6F70E792"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octava se </w:t>
      </w:r>
      <w:r w:rsidR="00D14851" w:rsidRPr="00B92499">
        <w:rPr>
          <w:rFonts w:ascii="Arial" w:hAnsi="Arial" w:cs="Arial"/>
        </w:rPr>
        <w:t xml:space="preserve">basa en el </w:t>
      </w:r>
      <w:r w:rsidR="008F67E4" w:rsidRPr="00B92499">
        <w:rPr>
          <w:rFonts w:ascii="Arial" w:hAnsi="Arial" w:cs="Arial"/>
        </w:rPr>
        <w:t>artículo</w:t>
      </w:r>
      <w:r w:rsidRPr="00B92499">
        <w:rPr>
          <w:rFonts w:ascii="Arial" w:hAnsi="Arial" w:cs="Arial"/>
        </w:rPr>
        <w:t xml:space="preserve"> 132</w:t>
      </w:r>
      <w:r w:rsidR="00D14851" w:rsidRPr="00B92499">
        <w:rPr>
          <w:rFonts w:ascii="Arial" w:hAnsi="Arial" w:cs="Arial"/>
        </w:rPr>
        <w:t xml:space="preserve">, el cual </w:t>
      </w:r>
      <w:r w:rsidRPr="00B92499">
        <w:rPr>
          <w:rFonts w:ascii="Arial" w:hAnsi="Arial" w:cs="Arial"/>
        </w:rPr>
        <w:t xml:space="preserve">refiere a la Comisión de Derechos Humanos; se mandata </w:t>
      </w:r>
      <w:r w:rsidR="00D14851" w:rsidRPr="00B92499">
        <w:rPr>
          <w:rFonts w:ascii="Arial" w:hAnsi="Arial" w:cs="Arial"/>
        </w:rPr>
        <w:t xml:space="preserve">en ese artículo </w:t>
      </w:r>
      <w:r w:rsidRPr="00B92499">
        <w:rPr>
          <w:rFonts w:ascii="Arial" w:hAnsi="Arial" w:cs="Arial"/>
        </w:rPr>
        <w:t>la publicación del listado y versiones públicas de las recomendaciones emitidas, las quejas y denuncias e impugnaciones concluidas, estadísticas sobre las quejas presentadas, acuerdos de conciliación, listado de medi</w:t>
      </w:r>
      <w:r w:rsidR="00327FB1" w:rsidRPr="00B92499">
        <w:rPr>
          <w:rFonts w:ascii="Arial" w:hAnsi="Arial" w:cs="Arial"/>
        </w:rPr>
        <w:t>d</w:t>
      </w:r>
      <w:r w:rsidRPr="00B92499">
        <w:rPr>
          <w:rFonts w:ascii="Arial" w:hAnsi="Arial" w:cs="Arial"/>
        </w:rPr>
        <w:t xml:space="preserve">as precautorias, toda información con la que cuente relacionada con hechos constitutivos de violaciones graves a los derechos humanos, información de acciones y resultados respecto de la defensa, promoción y protección de los derechos humanos, estado que guardan los derechos humanos en el sistema penitenciario, entre otros. </w:t>
      </w:r>
    </w:p>
    <w:p w14:paraId="7130DBB2"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A692C21" w14:textId="5341E758"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novena se conforma por </w:t>
      </w:r>
      <w:r w:rsidR="00D14851" w:rsidRPr="00B92499">
        <w:rPr>
          <w:rFonts w:ascii="Arial" w:hAnsi="Arial" w:cs="Arial"/>
        </w:rPr>
        <w:t>las disposiciones d</w:t>
      </w: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133 y hace referencia al Instituto de Transparencia, Acceso a la Información Pública, Protección de Datos Personales y Rendición de Cuentas de la Ciudad de México</w:t>
      </w:r>
      <w:r w:rsidR="00D14851" w:rsidRPr="00B92499">
        <w:rPr>
          <w:rFonts w:ascii="Arial" w:hAnsi="Arial" w:cs="Arial"/>
        </w:rPr>
        <w:t xml:space="preserve">. En esta sección </w:t>
      </w:r>
      <w:r w:rsidRPr="00B92499">
        <w:rPr>
          <w:rFonts w:ascii="Arial" w:hAnsi="Arial" w:cs="Arial"/>
        </w:rPr>
        <w:t>se contempla que</w:t>
      </w:r>
      <w:r w:rsidR="00D14851" w:rsidRPr="00B92499">
        <w:rPr>
          <w:rFonts w:ascii="Arial" w:hAnsi="Arial" w:cs="Arial"/>
        </w:rPr>
        <w:t>,</w:t>
      </w:r>
      <w:r w:rsidRPr="00B92499">
        <w:rPr>
          <w:rFonts w:ascii="Arial" w:hAnsi="Arial" w:cs="Arial"/>
        </w:rPr>
        <w:t xml:space="preserve"> además de lo señalado en las obligaciones de transparencia comunes, el Instituto deberá poner a disposición del público información referente a la relación de observaciones y resoluciones emitidas y el seguimiento a cada una de ellas, los criterios orientadores que deriven de sus resoluciones, estadísticas e indicadores sobre los medios de impugnación, los </w:t>
      </w:r>
      <w:r w:rsidRPr="00B92499">
        <w:rPr>
          <w:rFonts w:ascii="Arial" w:hAnsi="Arial" w:cs="Arial"/>
        </w:rPr>
        <w:lastRenderedPageBreak/>
        <w:t xml:space="preserve">estudios que apoyan la resolución de los recursos de revisión, estadísticas sobre las solicitudes de información y datos personales, los resultados de la evaluación del cumplimiento de la Ley a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número de quejas, denuncias y recursos de revisión dirigidos a cada uno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entre otros</w:t>
      </w:r>
      <w:r w:rsidR="00D14851" w:rsidRPr="00B92499">
        <w:rPr>
          <w:rFonts w:ascii="Arial" w:hAnsi="Arial" w:cs="Arial"/>
        </w:rPr>
        <w:t xml:space="preserve"> elementos</w:t>
      </w:r>
      <w:r w:rsidRPr="00B92499">
        <w:rPr>
          <w:rFonts w:ascii="Arial" w:hAnsi="Arial" w:cs="Arial"/>
        </w:rPr>
        <w:t>.</w:t>
      </w:r>
    </w:p>
    <w:p w14:paraId="2FCEE08E"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E897716" w14:textId="58E464FC"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décima </w:t>
      </w:r>
      <w:r w:rsidR="00D14851" w:rsidRPr="00B92499">
        <w:rPr>
          <w:rFonts w:ascii="Arial" w:hAnsi="Arial" w:cs="Arial"/>
        </w:rPr>
        <w:t>se integra con los elementos previstos por el</w:t>
      </w:r>
      <w:r w:rsidRPr="00B92499">
        <w:rPr>
          <w:rFonts w:ascii="Arial" w:hAnsi="Arial" w:cs="Arial"/>
        </w:rPr>
        <w:t xml:space="preserve"> </w:t>
      </w:r>
      <w:r w:rsidR="008F67E4" w:rsidRPr="00B92499">
        <w:rPr>
          <w:rFonts w:ascii="Arial" w:hAnsi="Arial" w:cs="Arial"/>
        </w:rPr>
        <w:t>artículo</w:t>
      </w:r>
      <w:r w:rsidRPr="00B92499">
        <w:rPr>
          <w:rFonts w:ascii="Arial" w:hAnsi="Arial" w:cs="Arial"/>
        </w:rPr>
        <w:t xml:space="preserve"> 134</w:t>
      </w:r>
      <w:r w:rsidR="00D14851" w:rsidRPr="00B92499">
        <w:rPr>
          <w:rFonts w:ascii="Arial" w:hAnsi="Arial" w:cs="Arial"/>
        </w:rPr>
        <w:t xml:space="preserve">, mismo que refiere </w:t>
      </w:r>
      <w:r w:rsidRPr="00B92499">
        <w:rPr>
          <w:rFonts w:ascii="Arial" w:hAnsi="Arial" w:cs="Arial"/>
        </w:rPr>
        <w:t xml:space="preserve">a la Universidad </w:t>
      </w:r>
      <w:r w:rsidR="00D14851" w:rsidRPr="00B92499">
        <w:rPr>
          <w:rFonts w:ascii="Arial" w:hAnsi="Arial" w:cs="Arial"/>
        </w:rPr>
        <w:t xml:space="preserve">Autónoma </w:t>
      </w:r>
      <w:r w:rsidRPr="00B92499">
        <w:rPr>
          <w:rFonts w:ascii="Arial" w:hAnsi="Arial" w:cs="Arial"/>
        </w:rPr>
        <w:t>de la Ciudad de México</w:t>
      </w:r>
      <w:r w:rsidR="00D14851" w:rsidRPr="00B92499">
        <w:rPr>
          <w:rFonts w:ascii="Arial" w:hAnsi="Arial" w:cs="Arial"/>
        </w:rPr>
        <w:t>. E</w:t>
      </w:r>
      <w:r w:rsidRPr="00B92499">
        <w:rPr>
          <w:rFonts w:ascii="Arial" w:hAnsi="Arial" w:cs="Arial"/>
        </w:rPr>
        <w:t>n esta sección se mandata la publicación de los planes y programas de estudio, los procedimientos de admisión, indicadores de resultados, lista de profesores con licencia, remuneración de los profesores, listados de becas y apoyos, evaluación del cuerpo docente, calendario del ciclo escolar, entre otros</w:t>
      </w:r>
      <w:r w:rsidR="00D14851" w:rsidRPr="00B92499">
        <w:rPr>
          <w:rFonts w:ascii="Arial" w:hAnsi="Arial" w:cs="Arial"/>
        </w:rPr>
        <w:t xml:space="preserve"> aspectos</w:t>
      </w:r>
      <w:r w:rsidRPr="00B92499">
        <w:rPr>
          <w:rFonts w:ascii="Arial" w:hAnsi="Arial" w:cs="Arial"/>
        </w:rPr>
        <w:t xml:space="preserve">. </w:t>
      </w:r>
    </w:p>
    <w:p w14:paraId="6AAA561D"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B15BAC3" w14:textId="318EC64C"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w:t>
      </w:r>
      <w:r w:rsidR="00D14851" w:rsidRPr="00B92499">
        <w:rPr>
          <w:rFonts w:ascii="Arial" w:hAnsi="Arial" w:cs="Arial"/>
        </w:rPr>
        <w:t>decimo</w:t>
      </w:r>
      <w:r w:rsidRPr="00B92499">
        <w:rPr>
          <w:rFonts w:ascii="Arial" w:hAnsi="Arial" w:cs="Arial"/>
        </w:rPr>
        <w:t xml:space="preserve">primera se conforma por </w:t>
      </w:r>
      <w:r w:rsidR="00D14851" w:rsidRPr="00B92499">
        <w:rPr>
          <w:rFonts w:ascii="Arial" w:hAnsi="Arial" w:cs="Arial"/>
        </w:rPr>
        <w:t xml:space="preserve">las disposiciones previstas en </w:t>
      </w:r>
      <w:r w:rsidRPr="00B92499">
        <w:rPr>
          <w:rFonts w:ascii="Arial" w:hAnsi="Arial" w:cs="Arial"/>
        </w:rPr>
        <w:t xml:space="preserve">los </w:t>
      </w:r>
      <w:r w:rsidR="008F67E4" w:rsidRPr="00B92499">
        <w:rPr>
          <w:rFonts w:ascii="Arial" w:hAnsi="Arial" w:cs="Arial"/>
        </w:rPr>
        <w:t>artículo</w:t>
      </w:r>
      <w:r w:rsidRPr="00B92499">
        <w:rPr>
          <w:rFonts w:ascii="Arial" w:hAnsi="Arial" w:cs="Arial"/>
        </w:rPr>
        <w:t xml:space="preserve">s 135 y 136, los cuales </w:t>
      </w:r>
      <w:r w:rsidR="00D14851" w:rsidRPr="00B92499">
        <w:rPr>
          <w:rFonts w:ascii="Arial" w:hAnsi="Arial" w:cs="Arial"/>
        </w:rPr>
        <w:t xml:space="preserve">refieren </w:t>
      </w:r>
      <w:r w:rsidRPr="00B92499">
        <w:rPr>
          <w:rFonts w:ascii="Arial" w:hAnsi="Arial" w:cs="Arial"/>
        </w:rPr>
        <w:t xml:space="preserve">a los Fideicomisos, Fondos Públicos y </w:t>
      </w:r>
      <w:r w:rsidR="00D14851" w:rsidRPr="00B92499">
        <w:rPr>
          <w:rFonts w:ascii="Arial" w:hAnsi="Arial" w:cs="Arial"/>
        </w:rPr>
        <w:t>otros análogos</w:t>
      </w:r>
      <w:r w:rsidRPr="00B92499">
        <w:rPr>
          <w:rFonts w:ascii="Arial" w:hAnsi="Arial" w:cs="Arial"/>
        </w:rPr>
        <w:t>. En el 135 se contempla el nombre de la persona servidora pública y de la persona física o moral que represente al fideicomitente, al fiduciario y al fideicomisario, la unidad administrativa responsable del fideicomiso, monto total, el uso y destino del patrimonio fideicomitido, el padrón de beneficiarios en su caso, los contratos de obras, adquisiciones y servicios que involucren recursos públicos de fideicomiso, reglas de operación y normatividad interna del fideicomiso o fondo público, impacto social derivado del cumplimiento de las acciones que realiza el fideicomiso o fondo público, entre otros.</w:t>
      </w:r>
      <w:r w:rsidR="00D14851" w:rsidRPr="00B92499">
        <w:rPr>
          <w:rFonts w:ascii="Arial" w:hAnsi="Arial" w:cs="Arial"/>
        </w:rPr>
        <w:t xml:space="preserve"> </w:t>
      </w:r>
      <w:r w:rsidRPr="00B92499">
        <w:rPr>
          <w:rFonts w:ascii="Arial" w:hAnsi="Arial" w:cs="Arial"/>
        </w:rPr>
        <w:t>Por otra parte</w:t>
      </w:r>
      <w:r w:rsidR="00D424B6" w:rsidRPr="00B92499">
        <w:rPr>
          <w:rFonts w:ascii="Arial" w:hAnsi="Arial" w:cs="Arial"/>
        </w:rPr>
        <w:t>,</w:t>
      </w:r>
      <w:r w:rsidRPr="00B92499">
        <w:rPr>
          <w:rFonts w:ascii="Arial" w:hAnsi="Arial" w:cs="Arial"/>
        </w:rPr>
        <w:t xml:space="preserve"> el </w:t>
      </w:r>
      <w:r w:rsidR="008F67E4" w:rsidRPr="00B92499">
        <w:rPr>
          <w:rFonts w:ascii="Arial" w:hAnsi="Arial" w:cs="Arial"/>
        </w:rPr>
        <w:t>artículo</w:t>
      </w:r>
      <w:r w:rsidRPr="00B92499">
        <w:rPr>
          <w:rFonts w:ascii="Arial" w:hAnsi="Arial" w:cs="Arial"/>
        </w:rPr>
        <w:t xml:space="preserve"> 136 indica que con relación a los contratos de mandato y otros actos jurídicos con los cuales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otorguen representación jurídica,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deberán mantener actualizada y para su consulta directa, cualquier tipo de instrucciones que el mandante exprese al mandatario o cualquier tipo de instrucciones relacionadas con el ejercicio de la facultad de representar, otorgada mediante otro acto jurídico.</w:t>
      </w:r>
    </w:p>
    <w:p w14:paraId="0BAAC1D4"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30DAA694" w14:textId="4DBFCB61"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La sección d</w:t>
      </w:r>
      <w:r w:rsidR="00D14851" w:rsidRPr="00B92499">
        <w:rPr>
          <w:rFonts w:ascii="Arial" w:hAnsi="Arial" w:cs="Arial"/>
        </w:rPr>
        <w:t>e</w:t>
      </w:r>
      <w:r w:rsidRPr="00B92499">
        <w:rPr>
          <w:rFonts w:ascii="Arial" w:hAnsi="Arial" w:cs="Arial"/>
        </w:rPr>
        <w:t xml:space="preserve">cimosegunda se conforma por el </w:t>
      </w:r>
      <w:r w:rsidR="008F67E4" w:rsidRPr="00B92499">
        <w:rPr>
          <w:rFonts w:ascii="Arial" w:hAnsi="Arial" w:cs="Arial"/>
        </w:rPr>
        <w:t>artículo</w:t>
      </w:r>
      <w:r w:rsidRPr="00B92499">
        <w:rPr>
          <w:rFonts w:ascii="Arial" w:hAnsi="Arial" w:cs="Arial"/>
        </w:rPr>
        <w:t xml:space="preserve"> 137 y hace referencia a la Junta Local de Conciliación y Arbitraje, en ésta se contemplan obligaciones </w:t>
      </w:r>
      <w:r w:rsidRPr="00B92499">
        <w:rPr>
          <w:rFonts w:ascii="Arial" w:hAnsi="Arial" w:cs="Arial"/>
        </w:rPr>
        <w:lastRenderedPageBreak/>
        <w:t xml:space="preserve">consistentes en publicar la relación de contratos colectivos de trabajo, los documentos de registro de los sindicatos. </w:t>
      </w:r>
    </w:p>
    <w:p w14:paraId="4F3536F5"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478A41E0" w14:textId="209FAE9E"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 xml:space="preserve">La sección </w:t>
      </w:r>
      <w:r w:rsidR="00D14851" w:rsidRPr="00B92499">
        <w:rPr>
          <w:rFonts w:ascii="Arial" w:hAnsi="Arial" w:cs="Arial"/>
        </w:rPr>
        <w:t>decimo</w:t>
      </w:r>
      <w:r w:rsidRPr="00B92499">
        <w:rPr>
          <w:rFonts w:ascii="Arial" w:hAnsi="Arial" w:cs="Arial"/>
        </w:rPr>
        <w:t xml:space="preserve">tercera hace referencia a los Sindicatos y se integra por </w:t>
      </w:r>
      <w:r w:rsidR="00D14851" w:rsidRPr="00B92499">
        <w:rPr>
          <w:rFonts w:ascii="Arial" w:hAnsi="Arial" w:cs="Arial"/>
        </w:rPr>
        <w:t xml:space="preserve">las disposiciones previstas en </w:t>
      </w:r>
      <w:r w:rsidRPr="00B92499">
        <w:rPr>
          <w:rFonts w:ascii="Arial" w:hAnsi="Arial" w:cs="Arial"/>
        </w:rPr>
        <w:t xml:space="preserve">el </w:t>
      </w:r>
      <w:r w:rsidR="008F67E4" w:rsidRPr="00B92499">
        <w:rPr>
          <w:rFonts w:ascii="Arial" w:hAnsi="Arial" w:cs="Arial"/>
        </w:rPr>
        <w:t>artículo</w:t>
      </w:r>
      <w:r w:rsidRPr="00B92499">
        <w:rPr>
          <w:rFonts w:ascii="Arial" w:hAnsi="Arial" w:cs="Arial"/>
        </w:rPr>
        <w:t xml:space="preserve"> 138, el cual mandata la publicación de los contratos y convenios entre sindicatos y autoridades, el directorio del Comité Ejecutivo, el padrón de socios o agremiados y la relación detallada de los servicios de los recursos públicos económicos, en especie, bienes o donativos que reciban y el informe detallado del ejercicio y destino final de los recursos públicos que ejerzan. </w:t>
      </w:r>
    </w:p>
    <w:p w14:paraId="1E0E054B"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1AEDDCB3" w14:textId="28FAA8A2" w:rsidR="005A0F6E" w:rsidRPr="00B92499" w:rsidRDefault="005A0F6E" w:rsidP="002E7D47">
      <w:pPr>
        <w:pStyle w:val="Ttulo2"/>
        <w:contextualSpacing/>
        <w:rPr>
          <w:rFonts w:ascii="Arial" w:hAnsi="Arial" w:cs="Arial"/>
          <w:b/>
          <w:color w:val="auto"/>
          <w:sz w:val="24"/>
        </w:rPr>
      </w:pPr>
      <w:bookmarkStart w:id="6" w:name="_Toc23252964"/>
      <w:r w:rsidRPr="00B92499">
        <w:rPr>
          <w:rFonts w:ascii="Arial" w:hAnsi="Arial" w:cs="Arial"/>
          <w:b/>
          <w:color w:val="auto"/>
          <w:sz w:val="24"/>
        </w:rPr>
        <w:t xml:space="preserve">Disposiciones Particulares de la Ley </w:t>
      </w:r>
      <w:r w:rsidR="00D14851" w:rsidRPr="00B92499">
        <w:rPr>
          <w:rFonts w:ascii="Arial" w:hAnsi="Arial" w:cs="Arial"/>
          <w:b/>
          <w:color w:val="auto"/>
          <w:sz w:val="24"/>
        </w:rPr>
        <w:t xml:space="preserve">local </w:t>
      </w:r>
      <w:r w:rsidRPr="00B92499">
        <w:rPr>
          <w:rFonts w:ascii="Arial" w:hAnsi="Arial" w:cs="Arial"/>
          <w:b/>
          <w:color w:val="auto"/>
          <w:sz w:val="24"/>
        </w:rPr>
        <w:t>de Transparencia</w:t>
      </w:r>
      <w:bookmarkEnd w:id="6"/>
    </w:p>
    <w:p w14:paraId="32387953" w14:textId="77777777" w:rsidR="005A0F6E" w:rsidRPr="00B92499" w:rsidRDefault="005A0F6E" w:rsidP="002E7D47">
      <w:pPr>
        <w:autoSpaceDE w:val="0"/>
        <w:autoSpaceDN w:val="0"/>
        <w:adjustRightInd w:val="0"/>
        <w:spacing w:line="360" w:lineRule="auto"/>
        <w:contextualSpacing/>
        <w:jc w:val="both"/>
        <w:rPr>
          <w:rFonts w:ascii="Arial" w:hAnsi="Arial" w:cs="Arial"/>
          <w:b/>
        </w:rPr>
      </w:pPr>
    </w:p>
    <w:p w14:paraId="3B9324C4" w14:textId="0C486AD7" w:rsidR="005A0F6E" w:rsidRPr="00B92499" w:rsidRDefault="005A0F6E" w:rsidP="002E7D47">
      <w:pPr>
        <w:autoSpaceDE w:val="0"/>
        <w:autoSpaceDN w:val="0"/>
        <w:adjustRightInd w:val="0"/>
        <w:spacing w:line="360" w:lineRule="auto"/>
        <w:contextualSpacing/>
        <w:jc w:val="both"/>
        <w:rPr>
          <w:rFonts w:ascii="Arial" w:hAnsi="Arial" w:cs="Arial"/>
        </w:rPr>
      </w:pPr>
      <w:r w:rsidRPr="00B92499">
        <w:rPr>
          <w:rFonts w:ascii="Arial" w:hAnsi="Arial" w:cs="Arial"/>
        </w:rPr>
        <w:t>Las disposiciones particulares son aquellas obligaciones que hacen referencia a la publicación de información complementaria a las obligaciones comunes y específicas. Estas disposiciones se integran por los</w:t>
      </w:r>
      <w:r w:rsidR="00D14851" w:rsidRPr="00B92499">
        <w:rPr>
          <w:rFonts w:ascii="Arial" w:hAnsi="Arial" w:cs="Arial"/>
        </w:rPr>
        <w:t xml:space="preserve"> preceptos contemplados en los </w:t>
      </w:r>
      <w:r w:rsidRPr="00B92499">
        <w:rPr>
          <w:rFonts w:ascii="Arial" w:hAnsi="Arial" w:cs="Arial"/>
        </w:rPr>
        <w:t xml:space="preserve">siguientes </w:t>
      </w:r>
      <w:r w:rsidR="008F67E4" w:rsidRPr="00B92499">
        <w:rPr>
          <w:rFonts w:ascii="Arial" w:hAnsi="Arial" w:cs="Arial"/>
        </w:rPr>
        <w:t>artículo</w:t>
      </w:r>
      <w:r w:rsidRPr="00B92499">
        <w:rPr>
          <w:rFonts w:ascii="Arial" w:hAnsi="Arial" w:cs="Arial"/>
        </w:rPr>
        <w:t>s</w:t>
      </w:r>
      <w:r w:rsidR="00D14851" w:rsidRPr="00B92499">
        <w:rPr>
          <w:rFonts w:ascii="Arial" w:hAnsi="Arial" w:cs="Arial"/>
        </w:rPr>
        <w:t xml:space="preserve"> de la norma referida</w:t>
      </w:r>
      <w:r w:rsidRPr="00B92499">
        <w:rPr>
          <w:rFonts w:ascii="Arial" w:hAnsi="Arial" w:cs="Arial"/>
        </w:rPr>
        <w:t xml:space="preserve">: </w:t>
      </w:r>
    </w:p>
    <w:p w14:paraId="16F65536"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032FC293" w14:textId="64B124E8" w:rsidR="005A0F6E" w:rsidRPr="00B92499" w:rsidRDefault="009D7771" w:rsidP="002E7D47">
      <w:pPr>
        <w:autoSpaceDE w:val="0"/>
        <w:autoSpaceDN w:val="0"/>
        <w:adjustRightInd w:val="0"/>
        <w:spacing w:line="360" w:lineRule="auto"/>
        <w:contextualSpacing/>
        <w:jc w:val="both"/>
        <w:rPr>
          <w:rFonts w:ascii="Arial" w:hAnsi="Arial" w:cs="Arial"/>
        </w:rPr>
      </w:pPr>
      <w:r w:rsidRPr="00B92499">
        <w:rPr>
          <w:rFonts w:ascii="Arial" w:hAnsi="Arial" w:cs="Arial"/>
        </w:rPr>
        <w:t>Artículo</w:t>
      </w:r>
      <w:r w:rsidR="00265035" w:rsidRPr="00B92499">
        <w:rPr>
          <w:rFonts w:ascii="Arial" w:hAnsi="Arial" w:cs="Arial"/>
        </w:rPr>
        <w:t>s</w:t>
      </w:r>
      <w:r w:rsidR="005A0F6E" w:rsidRPr="00B92499">
        <w:rPr>
          <w:rFonts w:ascii="Arial" w:hAnsi="Arial" w:cs="Arial"/>
        </w:rPr>
        <w:t xml:space="preserve"> 141 y 142</w:t>
      </w:r>
      <w:r w:rsidR="00265035" w:rsidRPr="00B92499">
        <w:rPr>
          <w:rFonts w:ascii="Arial" w:hAnsi="Arial" w:cs="Arial"/>
        </w:rPr>
        <w:t>,</w:t>
      </w:r>
      <w:r w:rsidR="005A0F6E" w:rsidRPr="00B92499">
        <w:rPr>
          <w:rFonts w:ascii="Arial" w:hAnsi="Arial" w:cs="Arial"/>
        </w:rPr>
        <w:t xml:space="preserve"> que hacen referencia a los resultados de las convocatorias a concurso o licitación de obras públicas, adquisiciones, arrendamientos, concesiones y prestación de servicios. </w:t>
      </w:r>
    </w:p>
    <w:p w14:paraId="5A483F97"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20BC7AEC" w14:textId="51376E08" w:rsidR="005A0F6E" w:rsidRPr="00B92499" w:rsidRDefault="009D7771" w:rsidP="002E7D47">
      <w:pPr>
        <w:autoSpaceDE w:val="0"/>
        <w:autoSpaceDN w:val="0"/>
        <w:adjustRightInd w:val="0"/>
        <w:spacing w:line="360" w:lineRule="auto"/>
        <w:contextualSpacing/>
        <w:jc w:val="both"/>
        <w:rPr>
          <w:rFonts w:ascii="Arial" w:hAnsi="Arial" w:cs="Arial"/>
        </w:rPr>
      </w:pPr>
      <w:r w:rsidRPr="00B92499">
        <w:rPr>
          <w:rFonts w:ascii="Arial" w:hAnsi="Arial" w:cs="Arial"/>
        </w:rPr>
        <w:t>Artículo</w:t>
      </w:r>
      <w:r w:rsidR="005A0F6E" w:rsidRPr="00B92499">
        <w:rPr>
          <w:rFonts w:ascii="Arial" w:hAnsi="Arial" w:cs="Arial"/>
        </w:rPr>
        <w:t xml:space="preserve"> 143</w:t>
      </w:r>
      <w:r w:rsidR="00265035" w:rsidRPr="00B92499">
        <w:rPr>
          <w:rFonts w:ascii="Arial" w:hAnsi="Arial" w:cs="Arial"/>
        </w:rPr>
        <w:t>,</w:t>
      </w:r>
      <w:r w:rsidR="005A0F6E" w:rsidRPr="00B92499">
        <w:rPr>
          <w:rFonts w:ascii="Arial" w:hAnsi="Arial" w:cs="Arial"/>
        </w:rPr>
        <w:t xml:space="preserve"> el cual versa </w:t>
      </w:r>
      <w:r w:rsidR="00265035" w:rsidRPr="00B92499">
        <w:rPr>
          <w:rFonts w:ascii="Arial" w:hAnsi="Arial" w:cs="Arial"/>
        </w:rPr>
        <w:t>sobre</w:t>
      </w:r>
      <w:r w:rsidR="005A0F6E" w:rsidRPr="00B92499">
        <w:rPr>
          <w:rFonts w:ascii="Arial" w:hAnsi="Arial" w:cs="Arial"/>
        </w:rPr>
        <w:t xml:space="preserve"> la información que brinden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005A0F6E" w:rsidRPr="00B92499">
        <w:rPr>
          <w:rFonts w:ascii="Arial" w:hAnsi="Arial" w:cs="Arial"/>
        </w:rPr>
        <w:t xml:space="preserve">, </w:t>
      </w:r>
      <w:r w:rsidR="00D424B6" w:rsidRPr="00B92499">
        <w:rPr>
          <w:rFonts w:ascii="Arial" w:hAnsi="Arial" w:cs="Arial"/>
        </w:rPr>
        <w:t>en relación con</w:t>
      </w:r>
      <w:r w:rsidR="005A0F6E" w:rsidRPr="00B92499">
        <w:rPr>
          <w:rFonts w:ascii="Arial" w:hAnsi="Arial" w:cs="Arial"/>
        </w:rPr>
        <w:t xml:space="preserve"> la ejecución de obra pública por invitación restringida. </w:t>
      </w:r>
    </w:p>
    <w:p w14:paraId="79C46BE6"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F6C5149" w14:textId="31FE13DE" w:rsidR="005A0F6E" w:rsidRPr="00B92499" w:rsidRDefault="009D7771" w:rsidP="002E7D47">
      <w:pPr>
        <w:autoSpaceDE w:val="0"/>
        <w:autoSpaceDN w:val="0"/>
        <w:adjustRightInd w:val="0"/>
        <w:spacing w:line="360" w:lineRule="auto"/>
        <w:contextualSpacing/>
        <w:jc w:val="both"/>
        <w:rPr>
          <w:rFonts w:ascii="Arial" w:hAnsi="Arial" w:cs="Arial"/>
        </w:rPr>
      </w:pPr>
      <w:r w:rsidRPr="00B92499">
        <w:rPr>
          <w:rFonts w:ascii="Arial" w:hAnsi="Arial" w:cs="Arial"/>
        </w:rPr>
        <w:t>Artículo</w:t>
      </w:r>
      <w:r w:rsidR="005A0F6E" w:rsidRPr="00B92499">
        <w:rPr>
          <w:rFonts w:ascii="Arial" w:hAnsi="Arial" w:cs="Arial"/>
        </w:rPr>
        <w:t xml:space="preserve"> 144</w:t>
      </w:r>
      <w:r w:rsidR="00265035" w:rsidRPr="00B92499">
        <w:rPr>
          <w:rFonts w:ascii="Arial" w:hAnsi="Arial" w:cs="Arial"/>
        </w:rPr>
        <w:t>,</w:t>
      </w:r>
      <w:r w:rsidR="005A0F6E" w:rsidRPr="00B92499">
        <w:rPr>
          <w:rFonts w:ascii="Arial" w:hAnsi="Arial" w:cs="Arial"/>
        </w:rPr>
        <w:t xml:space="preserve"> el cual mandata que toda la información sea publicada en formatos abiertos y accesibles.</w:t>
      </w:r>
    </w:p>
    <w:p w14:paraId="79774BBC"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70A172FD" w14:textId="0A030C5D" w:rsidR="005A0F6E" w:rsidRPr="00B92499" w:rsidRDefault="009D7771" w:rsidP="002E7D47">
      <w:pPr>
        <w:autoSpaceDE w:val="0"/>
        <w:autoSpaceDN w:val="0"/>
        <w:adjustRightInd w:val="0"/>
        <w:spacing w:line="360" w:lineRule="auto"/>
        <w:contextualSpacing/>
        <w:jc w:val="both"/>
        <w:rPr>
          <w:rFonts w:ascii="Arial" w:hAnsi="Arial" w:cs="Arial"/>
        </w:rPr>
      </w:pPr>
      <w:r w:rsidRPr="00B92499">
        <w:rPr>
          <w:rFonts w:ascii="Arial" w:hAnsi="Arial" w:cs="Arial"/>
        </w:rPr>
        <w:t>Artículo</w:t>
      </w:r>
      <w:r w:rsidR="005A0F6E" w:rsidRPr="00B92499">
        <w:rPr>
          <w:rFonts w:ascii="Arial" w:hAnsi="Arial" w:cs="Arial"/>
        </w:rPr>
        <w:t xml:space="preserve"> 145</w:t>
      </w:r>
      <w:r w:rsidR="00265035" w:rsidRPr="00B92499">
        <w:rPr>
          <w:rFonts w:ascii="Arial" w:hAnsi="Arial" w:cs="Arial"/>
        </w:rPr>
        <w:t>,</w:t>
      </w:r>
      <w:r w:rsidR="005A0F6E" w:rsidRPr="00B92499">
        <w:rPr>
          <w:rFonts w:ascii="Arial" w:hAnsi="Arial" w:cs="Arial"/>
        </w:rPr>
        <w:t xml:space="preserve"> que establece que todos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005A0F6E" w:rsidRPr="00B92499">
        <w:rPr>
          <w:rFonts w:ascii="Arial" w:hAnsi="Arial" w:cs="Arial"/>
        </w:rPr>
        <w:t xml:space="preserve"> deberán</w:t>
      </w:r>
      <w:r w:rsidR="00327FB1" w:rsidRPr="00B92499">
        <w:rPr>
          <w:rFonts w:ascii="Arial" w:hAnsi="Arial" w:cs="Arial"/>
        </w:rPr>
        <w:t xml:space="preserve"> </w:t>
      </w:r>
      <w:r w:rsidR="005A0F6E" w:rsidRPr="00B92499">
        <w:rPr>
          <w:rFonts w:ascii="Arial" w:hAnsi="Arial" w:cs="Arial"/>
        </w:rPr>
        <w:t>tener un acceso directo dentro de su Portal Institucional a sus obligaciones de transparencia.</w:t>
      </w:r>
    </w:p>
    <w:p w14:paraId="7CC55250"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38F3B163" w14:textId="000990C2" w:rsidR="005A0F6E" w:rsidRPr="00B92499" w:rsidRDefault="009D7771" w:rsidP="002E7D47">
      <w:pPr>
        <w:autoSpaceDE w:val="0"/>
        <w:autoSpaceDN w:val="0"/>
        <w:adjustRightInd w:val="0"/>
        <w:spacing w:line="360" w:lineRule="auto"/>
        <w:contextualSpacing/>
        <w:jc w:val="both"/>
        <w:rPr>
          <w:rFonts w:ascii="Arial" w:hAnsi="Arial" w:cs="Arial"/>
        </w:rPr>
      </w:pPr>
      <w:r w:rsidRPr="00B92499">
        <w:rPr>
          <w:rFonts w:ascii="Arial" w:hAnsi="Arial" w:cs="Arial"/>
        </w:rPr>
        <w:lastRenderedPageBreak/>
        <w:t>Artículo</w:t>
      </w:r>
      <w:r w:rsidR="005A0F6E" w:rsidRPr="00B92499">
        <w:rPr>
          <w:rFonts w:ascii="Arial" w:hAnsi="Arial" w:cs="Arial"/>
        </w:rPr>
        <w:t xml:space="preserve"> 146</w:t>
      </w:r>
      <w:r w:rsidR="00265035" w:rsidRPr="00B92499">
        <w:rPr>
          <w:rFonts w:ascii="Arial" w:hAnsi="Arial" w:cs="Arial"/>
        </w:rPr>
        <w:t>,</w:t>
      </w:r>
      <w:r w:rsidR="005A0F6E" w:rsidRPr="00B92499">
        <w:rPr>
          <w:rFonts w:ascii="Arial" w:hAnsi="Arial" w:cs="Arial"/>
        </w:rPr>
        <w:t xml:space="preserve"> el cual mandata la publicación de su calendario de actualización de las obligaciones de transparencia. </w:t>
      </w:r>
    </w:p>
    <w:p w14:paraId="77E8F336" w14:textId="77777777" w:rsidR="005A0F6E" w:rsidRPr="00B92499" w:rsidRDefault="005A0F6E" w:rsidP="002E7D47">
      <w:pPr>
        <w:autoSpaceDE w:val="0"/>
        <w:autoSpaceDN w:val="0"/>
        <w:adjustRightInd w:val="0"/>
        <w:spacing w:line="360" w:lineRule="auto"/>
        <w:contextualSpacing/>
        <w:jc w:val="both"/>
        <w:rPr>
          <w:rFonts w:ascii="Arial" w:hAnsi="Arial" w:cs="Arial"/>
        </w:rPr>
      </w:pPr>
    </w:p>
    <w:p w14:paraId="3EC74D10" w14:textId="55502E35" w:rsidR="00552574" w:rsidRPr="00B92499" w:rsidRDefault="009D7771" w:rsidP="00552574">
      <w:pPr>
        <w:autoSpaceDE w:val="0"/>
        <w:autoSpaceDN w:val="0"/>
        <w:adjustRightInd w:val="0"/>
        <w:spacing w:line="360" w:lineRule="auto"/>
        <w:contextualSpacing/>
        <w:jc w:val="both"/>
        <w:rPr>
          <w:rFonts w:ascii="Arial" w:hAnsi="Arial" w:cs="Arial"/>
        </w:rPr>
      </w:pPr>
      <w:r w:rsidRPr="00B92499">
        <w:rPr>
          <w:rFonts w:ascii="Arial" w:hAnsi="Arial" w:cs="Arial"/>
        </w:rPr>
        <w:t>Artículo</w:t>
      </w:r>
      <w:r w:rsidR="005A0F6E" w:rsidRPr="00B92499">
        <w:rPr>
          <w:rFonts w:ascii="Arial" w:hAnsi="Arial" w:cs="Arial"/>
        </w:rPr>
        <w:t xml:space="preserve"> 147</w:t>
      </w:r>
      <w:r w:rsidR="00265035" w:rsidRPr="00B92499">
        <w:rPr>
          <w:rFonts w:ascii="Arial" w:hAnsi="Arial" w:cs="Arial"/>
        </w:rPr>
        <w:t>, que</w:t>
      </w:r>
      <w:r w:rsidR="005A0F6E" w:rsidRPr="00B92499">
        <w:rPr>
          <w:rFonts w:ascii="Arial" w:hAnsi="Arial" w:cs="Arial"/>
        </w:rPr>
        <w:t xml:space="preserve"> señala que toda persona moral, organizaciones de la sociedad civil o sindicato que reciba recursos públicos deberá proporcionar a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005A0F6E" w:rsidRPr="00B92499">
        <w:rPr>
          <w:rFonts w:ascii="Arial" w:hAnsi="Arial" w:cs="Arial"/>
        </w:rPr>
        <w:t xml:space="preserve"> de los que reciban la información relativa al uso, destino y actividades q</w:t>
      </w:r>
      <w:r w:rsidR="00552574" w:rsidRPr="00B92499">
        <w:rPr>
          <w:rFonts w:ascii="Arial" w:hAnsi="Arial" w:cs="Arial"/>
        </w:rPr>
        <w:t>ue realicen con tales recursos.</w:t>
      </w:r>
    </w:p>
    <w:p w14:paraId="7EE42EC2" w14:textId="77777777" w:rsidR="00552574" w:rsidRPr="00B92499" w:rsidRDefault="00552574" w:rsidP="00552574">
      <w:pPr>
        <w:autoSpaceDE w:val="0"/>
        <w:autoSpaceDN w:val="0"/>
        <w:adjustRightInd w:val="0"/>
        <w:spacing w:line="360" w:lineRule="auto"/>
        <w:contextualSpacing/>
        <w:jc w:val="both"/>
        <w:rPr>
          <w:rFonts w:ascii="Arial" w:hAnsi="Arial" w:cs="Arial"/>
        </w:rPr>
      </w:pPr>
    </w:p>
    <w:p w14:paraId="12E2C16A" w14:textId="77777777" w:rsidR="00D424B6" w:rsidRPr="00B92499" w:rsidRDefault="00D424B6">
      <w:pPr>
        <w:spacing w:after="160" w:line="259" w:lineRule="auto"/>
        <w:rPr>
          <w:rFonts w:ascii="Arial" w:eastAsiaTheme="majorEastAsia" w:hAnsi="Arial" w:cs="Arial"/>
          <w:b/>
          <w:szCs w:val="32"/>
          <w:lang w:eastAsia="en-US"/>
        </w:rPr>
      </w:pPr>
      <w:r w:rsidRPr="00B92499">
        <w:rPr>
          <w:rFonts w:ascii="Arial" w:hAnsi="Arial" w:cs="Arial"/>
          <w:b/>
        </w:rPr>
        <w:br w:type="page"/>
      </w:r>
    </w:p>
    <w:p w14:paraId="66AD6BCE" w14:textId="6CB8461B" w:rsidR="00C9398D" w:rsidRPr="00B92499" w:rsidRDefault="00552574" w:rsidP="00C9398D">
      <w:pPr>
        <w:pStyle w:val="Ttulo1"/>
        <w:jc w:val="both"/>
        <w:rPr>
          <w:rFonts w:ascii="Arial" w:hAnsi="Arial" w:cs="Arial"/>
          <w:b/>
          <w:color w:val="auto"/>
          <w:sz w:val="24"/>
        </w:rPr>
      </w:pPr>
      <w:bookmarkStart w:id="7" w:name="_Toc23252965"/>
      <w:r w:rsidRPr="00B92499">
        <w:rPr>
          <w:rFonts w:ascii="Arial" w:hAnsi="Arial" w:cs="Arial"/>
          <w:b/>
          <w:color w:val="auto"/>
          <w:sz w:val="24"/>
        </w:rPr>
        <w:lastRenderedPageBreak/>
        <w:t>RESULTADOS GLOBALES</w:t>
      </w:r>
      <w:r w:rsidR="00C9398D" w:rsidRPr="00B92499">
        <w:rPr>
          <w:rFonts w:ascii="Arial" w:hAnsi="Arial" w:cs="Arial"/>
          <w:b/>
          <w:color w:val="auto"/>
          <w:sz w:val="24"/>
        </w:rPr>
        <w:t xml:space="preserve"> DE LA EVALUACIÓN DEL CUMPLIMIENTO DE OBLIGACIONES DE TRANSPARENCIA SOBRE LA INFORMACIÓN DEL PRIMER SEMESTRE DEL AÑO 2019 POR PARTE DE 35 SUJETOS OBLIGADOS DE RECIENTE INCORPORACIÓN AL PADRÓN</w:t>
      </w:r>
      <w:bookmarkEnd w:id="7"/>
    </w:p>
    <w:p w14:paraId="2DC4819F" w14:textId="77777777" w:rsidR="00C9398D" w:rsidRPr="00B92499" w:rsidRDefault="00C9398D" w:rsidP="00C9398D">
      <w:pPr>
        <w:rPr>
          <w:lang w:val="es-ES_tradnl" w:eastAsia="en-US"/>
        </w:rPr>
      </w:pPr>
    </w:p>
    <w:p w14:paraId="6F3633D6" w14:textId="77777777" w:rsidR="00552574" w:rsidRPr="00B92499" w:rsidRDefault="00552574" w:rsidP="00552574">
      <w:pPr>
        <w:autoSpaceDE w:val="0"/>
        <w:autoSpaceDN w:val="0"/>
        <w:adjustRightInd w:val="0"/>
        <w:spacing w:line="360" w:lineRule="auto"/>
        <w:contextualSpacing/>
        <w:jc w:val="center"/>
        <w:rPr>
          <w:rFonts w:ascii="Arial" w:hAnsi="Arial" w:cs="Arial"/>
          <w:b/>
        </w:rPr>
      </w:pPr>
    </w:p>
    <w:p w14:paraId="2CCF9491" w14:textId="238A3EB4"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En la segunda evaluación vinculante del año 2019, correspondiente al primer semestre del año en curso, realizada por el Instituto de Transparencia, Acceso a la Información Pública, Protección de Datos Personales y Rendición de Cuentas de la Ciudad de México (INFO), los 35 sujetos obligados que fueron incorporados al Padrón durante el primer trimestre del año en curso cumplieron, en promedio, con 85.38% de sus obligaciones de transparencia que tiene</w:t>
      </w:r>
      <w:r w:rsidR="00114E33" w:rsidRPr="00B92499">
        <w:rPr>
          <w:rFonts w:ascii="Arial" w:hAnsi="Arial" w:cs="Arial"/>
        </w:rPr>
        <w:t>n</w:t>
      </w:r>
      <w:r w:rsidRPr="00B92499">
        <w:rPr>
          <w:rFonts w:ascii="Arial" w:hAnsi="Arial" w:cs="Arial"/>
        </w:rPr>
        <w:t xml:space="preserve"> que publicar por ley en sus portales institucionales y la Plataforma Nacional</w:t>
      </w:r>
      <w:r w:rsidR="00CE5B2E" w:rsidRPr="00B92499">
        <w:rPr>
          <w:rFonts w:ascii="Arial" w:hAnsi="Arial" w:cs="Arial"/>
        </w:rPr>
        <w:t xml:space="preserve"> de Transparencia.</w:t>
      </w:r>
      <w:r w:rsidRPr="00B92499">
        <w:rPr>
          <w:rFonts w:ascii="Arial" w:hAnsi="Arial" w:cs="Arial"/>
        </w:rPr>
        <w:t xml:space="preserve"> </w:t>
      </w:r>
    </w:p>
    <w:p w14:paraId="32834376" w14:textId="77777777" w:rsidR="00C9398D" w:rsidRPr="00B92499" w:rsidRDefault="00C9398D" w:rsidP="00C9398D">
      <w:pPr>
        <w:autoSpaceDE w:val="0"/>
        <w:autoSpaceDN w:val="0"/>
        <w:adjustRightInd w:val="0"/>
        <w:spacing w:line="360" w:lineRule="auto"/>
        <w:contextualSpacing/>
        <w:jc w:val="both"/>
        <w:rPr>
          <w:rFonts w:ascii="Arial" w:hAnsi="Arial" w:cs="Arial"/>
        </w:rPr>
      </w:pPr>
    </w:p>
    <w:p w14:paraId="70BFD5F6" w14:textId="77777777"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Los 35 sujetos obligados evaluados se integran por: 8</w:t>
      </w:r>
      <w:r w:rsidRPr="00B92499">
        <w:rPr>
          <w:rStyle w:val="Refdenotaalpie"/>
          <w:rFonts w:ascii="Arial" w:hAnsi="Arial" w:cs="Arial"/>
        </w:rPr>
        <w:footnoteReference w:id="2"/>
      </w:r>
      <w:r w:rsidRPr="00B92499">
        <w:rPr>
          <w:rFonts w:ascii="Arial" w:hAnsi="Arial" w:cs="Arial"/>
        </w:rPr>
        <w:t xml:space="preserve"> sujetos pertenecientes a la Administración Central, 8</w:t>
      </w:r>
      <w:r w:rsidRPr="00B92499">
        <w:rPr>
          <w:rStyle w:val="Refdenotaalpie"/>
          <w:rFonts w:ascii="Arial" w:hAnsi="Arial" w:cs="Arial"/>
        </w:rPr>
        <w:footnoteReference w:id="3"/>
      </w:r>
      <w:r w:rsidRPr="00B92499">
        <w:rPr>
          <w:rFonts w:ascii="Arial" w:hAnsi="Arial" w:cs="Arial"/>
        </w:rPr>
        <w:t xml:space="preserve"> al ámbito de Órganos Desconcentrados, Fondos y Fideicomisos, 16</w:t>
      </w:r>
      <w:r w:rsidRPr="00B92499">
        <w:rPr>
          <w:rStyle w:val="Refdenotaalpie"/>
          <w:rFonts w:ascii="Arial" w:hAnsi="Arial" w:cs="Arial"/>
        </w:rPr>
        <w:footnoteReference w:id="4"/>
      </w:r>
      <w:r w:rsidRPr="00B92499">
        <w:rPr>
          <w:rFonts w:ascii="Arial" w:hAnsi="Arial" w:cs="Arial"/>
        </w:rPr>
        <w:t xml:space="preserve"> a las Alcaldías, 1</w:t>
      </w:r>
      <w:r w:rsidRPr="00B92499">
        <w:rPr>
          <w:rStyle w:val="Refdenotaalpie"/>
          <w:rFonts w:ascii="Arial" w:hAnsi="Arial" w:cs="Arial"/>
        </w:rPr>
        <w:footnoteReference w:id="5"/>
      </w:r>
      <w:r w:rsidRPr="00B92499">
        <w:rPr>
          <w:rFonts w:ascii="Arial" w:hAnsi="Arial" w:cs="Arial"/>
        </w:rPr>
        <w:t xml:space="preserve"> sujeto obligado del Poder Legislativo, 1</w:t>
      </w:r>
      <w:r w:rsidRPr="00B92499">
        <w:rPr>
          <w:rStyle w:val="Refdenotaalpie"/>
          <w:rFonts w:ascii="Arial" w:hAnsi="Arial" w:cs="Arial"/>
        </w:rPr>
        <w:footnoteReference w:id="6"/>
      </w:r>
      <w:r w:rsidRPr="00B92499">
        <w:rPr>
          <w:rFonts w:ascii="Arial" w:hAnsi="Arial" w:cs="Arial"/>
        </w:rPr>
        <w:t xml:space="preserve"> de los Órganos Autónomos y 1</w:t>
      </w:r>
      <w:r w:rsidRPr="00B92499">
        <w:rPr>
          <w:rStyle w:val="Refdenotaalpie"/>
          <w:rFonts w:ascii="Arial" w:hAnsi="Arial" w:cs="Arial"/>
        </w:rPr>
        <w:footnoteReference w:id="7"/>
      </w:r>
      <w:r w:rsidRPr="00B92499">
        <w:rPr>
          <w:rFonts w:ascii="Arial" w:hAnsi="Arial" w:cs="Arial"/>
        </w:rPr>
        <w:t xml:space="preserve"> de Sindicatos. </w:t>
      </w:r>
    </w:p>
    <w:p w14:paraId="0A80453E" w14:textId="77777777" w:rsidR="00C9398D" w:rsidRPr="00B92499" w:rsidRDefault="00C9398D" w:rsidP="00C9398D">
      <w:pPr>
        <w:autoSpaceDE w:val="0"/>
        <w:autoSpaceDN w:val="0"/>
        <w:adjustRightInd w:val="0"/>
        <w:spacing w:line="360" w:lineRule="auto"/>
        <w:contextualSpacing/>
        <w:jc w:val="both"/>
        <w:rPr>
          <w:rFonts w:ascii="Arial" w:hAnsi="Arial" w:cs="Arial"/>
        </w:rPr>
      </w:pPr>
    </w:p>
    <w:p w14:paraId="75ED0D33" w14:textId="77777777"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 xml:space="preserve">La metodología de la Evaluación se compone por el </w:t>
      </w:r>
      <w:r w:rsidRPr="00B92499">
        <w:rPr>
          <w:rFonts w:ascii="Arial" w:hAnsi="Arial" w:cs="Arial"/>
          <w:b/>
        </w:rPr>
        <w:t>Índice General de Cumplimiento de Obligaciones de Transparencia (IGOT)</w:t>
      </w:r>
      <w:r w:rsidRPr="00B92499">
        <w:rPr>
          <w:rFonts w:ascii="Arial" w:hAnsi="Arial" w:cs="Arial"/>
        </w:rPr>
        <w:t xml:space="preserve">, el cual contiene el resultado numérico de la evaluación correspondiente. Dicho índice se construye al sumar el </w:t>
      </w:r>
      <w:r w:rsidRPr="00B92499">
        <w:rPr>
          <w:rFonts w:ascii="Arial" w:hAnsi="Arial" w:cs="Arial"/>
          <w:b/>
        </w:rPr>
        <w:t>Índice de Cumplimiento de Obligaciones de Transparencia del Portal de Internet (ICOT-PT) y el de la Plataforma Nacional de Transparencia (ICOT-PNT)</w:t>
      </w:r>
      <w:r w:rsidRPr="00B92499">
        <w:rPr>
          <w:rFonts w:ascii="Arial" w:hAnsi="Arial" w:cs="Arial"/>
        </w:rPr>
        <w:t xml:space="preserve">. En específico, tanto el ICOT-PT como el ICOT-PNT se integran con los </w:t>
      </w:r>
      <w:r w:rsidRPr="00B92499">
        <w:rPr>
          <w:rFonts w:ascii="Arial" w:hAnsi="Arial" w:cs="Arial"/>
        </w:rPr>
        <w:lastRenderedPageBreak/>
        <w:t xml:space="preserve">resultados de la evaluación del cumplimiento de las </w:t>
      </w:r>
      <w:r w:rsidRPr="00B92499">
        <w:rPr>
          <w:rFonts w:ascii="Arial" w:hAnsi="Arial" w:cs="Arial"/>
          <w:b/>
        </w:rPr>
        <w:t>obligaciones comunes</w:t>
      </w:r>
      <w:r w:rsidRPr="00B92499">
        <w:rPr>
          <w:rFonts w:ascii="Arial" w:hAnsi="Arial" w:cs="Arial"/>
        </w:rPr>
        <w:t xml:space="preserve"> referidas en los artículos 121 y 122; las </w:t>
      </w:r>
      <w:r w:rsidRPr="00B92499">
        <w:rPr>
          <w:rFonts w:ascii="Arial" w:hAnsi="Arial" w:cs="Arial"/>
          <w:b/>
        </w:rPr>
        <w:t>obligaciones específicas</w:t>
      </w:r>
      <w:r w:rsidRPr="00B92499">
        <w:rPr>
          <w:rFonts w:ascii="Arial" w:hAnsi="Arial" w:cs="Arial"/>
        </w:rPr>
        <w:t xml:space="preserve"> consistentes en los artículos 123 al 140, y las </w:t>
      </w:r>
      <w:r w:rsidRPr="00B92499">
        <w:rPr>
          <w:rFonts w:ascii="Arial" w:hAnsi="Arial" w:cs="Arial"/>
          <w:b/>
        </w:rPr>
        <w:t>disposiciones particulares</w:t>
      </w:r>
      <w:r w:rsidRPr="00B92499">
        <w:rPr>
          <w:rFonts w:ascii="Arial" w:hAnsi="Arial" w:cs="Arial"/>
        </w:rPr>
        <w:t xml:space="preserve"> contempladas en los artículos 143 al 147, todos de la Ley de Transparencia local.</w:t>
      </w:r>
    </w:p>
    <w:p w14:paraId="222047C7" w14:textId="77777777" w:rsidR="00C9398D" w:rsidRPr="00B92499" w:rsidRDefault="00C9398D" w:rsidP="00C9398D">
      <w:pPr>
        <w:autoSpaceDE w:val="0"/>
        <w:autoSpaceDN w:val="0"/>
        <w:adjustRightInd w:val="0"/>
        <w:spacing w:line="360" w:lineRule="auto"/>
        <w:contextualSpacing/>
        <w:jc w:val="both"/>
        <w:rPr>
          <w:rFonts w:ascii="Arial" w:hAnsi="Arial" w:cs="Arial"/>
        </w:rPr>
      </w:pPr>
    </w:p>
    <w:p w14:paraId="4B6E66A6" w14:textId="02F42C8F"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En esta evaluación se observó que 7 sujetos cumplieron con el 100% de las obligaciones señaladas las por las disposiciones comunes, específicas y particulares de la Ley de Transparencia Local (artículos 121 a 147):</w:t>
      </w:r>
    </w:p>
    <w:p w14:paraId="6C5E285D" w14:textId="77777777" w:rsidR="00F93DEA" w:rsidRPr="00B92499" w:rsidRDefault="00F93DEA" w:rsidP="00C9398D">
      <w:pPr>
        <w:autoSpaceDE w:val="0"/>
        <w:autoSpaceDN w:val="0"/>
        <w:adjustRightInd w:val="0"/>
        <w:spacing w:line="360" w:lineRule="auto"/>
        <w:contextualSpacing/>
        <w:jc w:val="both"/>
        <w:rPr>
          <w:rFonts w:ascii="Arial" w:hAnsi="Arial" w:cs="Arial"/>
        </w:rPr>
      </w:pPr>
    </w:p>
    <w:p w14:paraId="6564C179" w14:textId="35374AE0"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Secretaría de Administración y Finanzas</w:t>
      </w:r>
      <w:r w:rsidR="005D21D2" w:rsidRPr="00B92499">
        <w:rPr>
          <w:rFonts w:ascii="Arial" w:hAnsi="Arial" w:cs="Arial"/>
          <w:sz w:val="24"/>
          <w:szCs w:val="24"/>
        </w:rPr>
        <w:t>;</w:t>
      </w:r>
    </w:p>
    <w:p w14:paraId="655F309F" w14:textId="302999C8"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Secretaría de la Contraloría General</w:t>
      </w:r>
      <w:r w:rsidR="005D21D2" w:rsidRPr="00B92499">
        <w:rPr>
          <w:rFonts w:ascii="Arial" w:hAnsi="Arial" w:cs="Arial"/>
          <w:sz w:val="24"/>
          <w:szCs w:val="24"/>
        </w:rPr>
        <w:t>;</w:t>
      </w:r>
    </w:p>
    <w:p w14:paraId="0FD932A9" w14:textId="46FD597C"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Secretaría de Seguridad Ciudadana</w:t>
      </w:r>
      <w:r w:rsidR="005D21D2" w:rsidRPr="00B92499">
        <w:rPr>
          <w:rFonts w:ascii="Arial" w:hAnsi="Arial" w:cs="Arial"/>
          <w:sz w:val="24"/>
          <w:szCs w:val="24"/>
        </w:rPr>
        <w:t>;</w:t>
      </w:r>
    </w:p>
    <w:p w14:paraId="1A792A47" w14:textId="4D853909"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Secretaría de Inclusión y Bienestar Social</w:t>
      </w:r>
      <w:r w:rsidR="005D21D2" w:rsidRPr="00B92499">
        <w:rPr>
          <w:rFonts w:ascii="Arial" w:hAnsi="Arial" w:cs="Arial"/>
          <w:sz w:val="24"/>
          <w:szCs w:val="24"/>
        </w:rPr>
        <w:t>;</w:t>
      </w:r>
    </w:p>
    <w:p w14:paraId="3557B811" w14:textId="49BCA2C4"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Agencia Digital de Innovación Pública de la Ciudad de México</w:t>
      </w:r>
      <w:r w:rsidR="005D21D2" w:rsidRPr="00B92499">
        <w:rPr>
          <w:rFonts w:ascii="Arial" w:hAnsi="Arial" w:cs="Arial"/>
          <w:sz w:val="24"/>
          <w:szCs w:val="24"/>
        </w:rPr>
        <w:t>;</w:t>
      </w:r>
    </w:p>
    <w:p w14:paraId="013D2897" w14:textId="77777777"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 xml:space="preserve">Alcaldía La Magdalena Contreras, y </w:t>
      </w:r>
    </w:p>
    <w:p w14:paraId="224AD61D" w14:textId="733F5D63" w:rsidR="00C9398D" w:rsidRPr="00B92499" w:rsidRDefault="00C9398D" w:rsidP="009F64B5">
      <w:pPr>
        <w:pStyle w:val="Prrafodelista"/>
        <w:numPr>
          <w:ilvl w:val="0"/>
          <w:numId w:val="21"/>
        </w:numPr>
        <w:autoSpaceDE w:val="0"/>
        <w:autoSpaceDN w:val="0"/>
        <w:adjustRightInd w:val="0"/>
        <w:spacing w:line="360" w:lineRule="auto"/>
        <w:jc w:val="both"/>
        <w:rPr>
          <w:rFonts w:ascii="Arial" w:hAnsi="Arial" w:cs="Arial"/>
          <w:sz w:val="24"/>
          <w:szCs w:val="24"/>
        </w:rPr>
      </w:pPr>
      <w:r w:rsidRPr="00B92499">
        <w:rPr>
          <w:rFonts w:ascii="Arial" w:hAnsi="Arial" w:cs="Arial"/>
          <w:sz w:val="24"/>
          <w:szCs w:val="24"/>
        </w:rPr>
        <w:t>Alcaldía Miguel Hidalgo.</w:t>
      </w:r>
    </w:p>
    <w:p w14:paraId="60EE9B92" w14:textId="77777777" w:rsidR="00F93DEA" w:rsidRPr="00B92499" w:rsidRDefault="00F93DEA" w:rsidP="00F93DEA">
      <w:pPr>
        <w:pStyle w:val="Prrafodelista"/>
        <w:autoSpaceDE w:val="0"/>
        <w:autoSpaceDN w:val="0"/>
        <w:adjustRightInd w:val="0"/>
        <w:spacing w:line="360" w:lineRule="auto"/>
        <w:jc w:val="both"/>
        <w:rPr>
          <w:rFonts w:ascii="Arial" w:hAnsi="Arial" w:cs="Arial"/>
          <w:sz w:val="24"/>
          <w:szCs w:val="24"/>
        </w:rPr>
      </w:pPr>
    </w:p>
    <w:p w14:paraId="2C04E54A" w14:textId="77777777"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 xml:space="preserve">Los 25 sujetos obligados que cumplieron parcialmente (IGOT mayor a 60%) se integran de la siguiente forma: 4 de la Administración Pública Centralizada, 4 del ámbito de Organismos Desconcentrados, Descentralizados, Paraestatales y Auxiliares, 14 Alcaldías, 1 sujeto obligado perteneciente al Poder Legislativo, 1 Órgano Autónomo, y 1 Sindicato. </w:t>
      </w:r>
    </w:p>
    <w:p w14:paraId="52DD0330" w14:textId="77777777" w:rsidR="00C9398D" w:rsidRPr="00B92499" w:rsidRDefault="00C9398D" w:rsidP="00C9398D">
      <w:pPr>
        <w:autoSpaceDE w:val="0"/>
        <w:autoSpaceDN w:val="0"/>
        <w:adjustRightInd w:val="0"/>
        <w:spacing w:line="360" w:lineRule="auto"/>
        <w:contextualSpacing/>
        <w:jc w:val="both"/>
        <w:rPr>
          <w:rFonts w:ascii="Arial" w:hAnsi="Arial" w:cs="Arial"/>
        </w:rPr>
      </w:pPr>
    </w:p>
    <w:p w14:paraId="03D02C95" w14:textId="75C98C4E" w:rsidR="00C9398D" w:rsidRPr="00B92499" w:rsidRDefault="00C9398D" w:rsidP="00C9398D">
      <w:pPr>
        <w:autoSpaceDE w:val="0"/>
        <w:autoSpaceDN w:val="0"/>
        <w:adjustRightInd w:val="0"/>
        <w:spacing w:line="360" w:lineRule="auto"/>
        <w:contextualSpacing/>
        <w:jc w:val="both"/>
        <w:rPr>
          <w:rFonts w:ascii="Arial" w:hAnsi="Arial" w:cs="Arial"/>
        </w:rPr>
      </w:pPr>
      <w:r w:rsidRPr="00B92499">
        <w:rPr>
          <w:rFonts w:ascii="Arial" w:hAnsi="Arial" w:cs="Arial"/>
        </w:rPr>
        <w:t xml:space="preserve">Tres sujetos obligados incumplieron parcialmente (IGOT de </w:t>
      </w:r>
      <w:r w:rsidR="00A64325" w:rsidRPr="00B92499">
        <w:rPr>
          <w:rFonts w:ascii="Arial" w:hAnsi="Arial" w:cs="Arial"/>
        </w:rPr>
        <w:t>59</w:t>
      </w:r>
      <w:r w:rsidR="00C41BA1" w:rsidRPr="00B92499">
        <w:rPr>
          <w:rFonts w:ascii="Arial" w:hAnsi="Arial" w:cs="Arial"/>
        </w:rPr>
        <w:t>.99</w:t>
      </w:r>
      <w:r w:rsidRPr="00B92499">
        <w:rPr>
          <w:rFonts w:ascii="Arial" w:hAnsi="Arial" w:cs="Arial"/>
        </w:rPr>
        <w:t>% o inferior). Estos</w:t>
      </w:r>
      <w:r w:rsidR="000D67A7" w:rsidRPr="00B92499">
        <w:rPr>
          <w:rFonts w:ascii="Arial" w:hAnsi="Arial" w:cs="Arial"/>
        </w:rPr>
        <w:t xml:space="preserve"> 3 </w:t>
      </w:r>
      <w:r w:rsidRPr="00B92499">
        <w:rPr>
          <w:rFonts w:ascii="Arial" w:hAnsi="Arial" w:cs="Arial"/>
        </w:rPr>
        <w:t>sujetos forman parte del conjunto de Organismos Desconcentrados, Descentralizados, Paraestatales y Auxiliares.</w:t>
      </w:r>
    </w:p>
    <w:p w14:paraId="644B0DB8" w14:textId="77777777" w:rsidR="00C9398D" w:rsidRPr="00B92499" w:rsidRDefault="00C9398D" w:rsidP="00C9398D">
      <w:pPr>
        <w:spacing w:line="360" w:lineRule="auto"/>
        <w:contextualSpacing/>
        <w:jc w:val="both"/>
        <w:rPr>
          <w:rFonts w:ascii="Arial" w:hAnsi="Arial" w:cs="Arial"/>
        </w:rPr>
      </w:pPr>
    </w:p>
    <w:p w14:paraId="2E5A3186" w14:textId="09CBD608" w:rsidR="00C9398D" w:rsidRPr="00B92499" w:rsidRDefault="00C9398D" w:rsidP="00C9398D">
      <w:pPr>
        <w:spacing w:line="360" w:lineRule="auto"/>
        <w:contextualSpacing/>
        <w:jc w:val="both"/>
        <w:rPr>
          <w:rFonts w:ascii="Arial" w:hAnsi="Arial" w:cs="Arial"/>
        </w:rPr>
      </w:pPr>
      <w:r w:rsidRPr="00B92499">
        <w:rPr>
          <w:rFonts w:ascii="Arial" w:hAnsi="Arial" w:cs="Arial"/>
        </w:rPr>
        <w:t>Por ámbito</w:t>
      </w:r>
      <w:r w:rsidR="00A64325" w:rsidRPr="00B92499">
        <w:rPr>
          <w:rFonts w:ascii="Arial" w:hAnsi="Arial" w:cs="Arial"/>
        </w:rPr>
        <w:t xml:space="preserve"> e </w:t>
      </w:r>
      <w:r w:rsidRPr="00B92499">
        <w:rPr>
          <w:rFonts w:ascii="Arial" w:hAnsi="Arial" w:cs="Arial"/>
        </w:rPr>
        <w:t>l promedio de cumplimento se observó de la siguiente manera: 96.24% para el Órgano Autónomo, 96.23% para la Administración Central, 95.03% para el Poder Legislativo, 87.89% para las Demarcaciones Políticas, 87.20% para el Sindicato y 66.72% para los Órganos Desconcentrados, Fondos y Fideicomisos.</w:t>
      </w:r>
    </w:p>
    <w:p w14:paraId="552AA7D0" w14:textId="77777777" w:rsidR="00C9398D" w:rsidRPr="00B92499" w:rsidRDefault="00C9398D" w:rsidP="00C9398D">
      <w:pPr>
        <w:spacing w:line="360" w:lineRule="auto"/>
        <w:contextualSpacing/>
        <w:jc w:val="both"/>
        <w:rPr>
          <w:rFonts w:ascii="Arial" w:hAnsi="Arial" w:cs="Arial"/>
        </w:rPr>
      </w:pPr>
    </w:p>
    <w:p w14:paraId="6074B100" w14:textId="7F748B23" w:rsidR="00C9398D" w:rsidRPr="00B92499" w:rsidRDefault="00C9398D" w:rsidP="00C9398D">
      <w:pPr>
        <w:spacing w:line="360" w:lineRule="auto"/>
        <w:contextualSpacing/>
        <w:jc w:val="both"/>
        <w:rPr>
          <w:rFonts w:ascii="Arial" w:hAnsi="Arial" w:cs="Arial"/>
        </w:rPr>
      </w:pPr>
      <w:r w:rsidRPr="00B92499">
        <w:rPr>
          <w:rFonts w:ascii="Arial" w:hAnsi="Arial" w:cs="Arial"/>
        </w:rPr>
        <w:t xml:space="preserve">Esta evaluación vinculante 2019 identificó que, </w:t>
      </w:r>
      <w:r w:rsidR="005D21D2" w:rsidRPr="00B92499">
        <w:rPr>
          <w:rFonts w:ascii="Arial" w:hAnsi="Arial" w:cs="Arial"/>
        </w:rPr>
        <w:t xml:space="preserve">el </w:t>
      </w:r>
      <w:r w:rsidRPr="00B92499">
        <w:rPr>
          <w:rFonts w:ascii="Arial" w:hAnsi="Arial" w:cs="Arial"/>
        </w:rPr>
        <w:t xml:space="preserve">IGOT </w:t>
      </w:r>
      <w:r w:rsidR="005D21D2" w:rsidRPr="00B92499">
        <w:rPr>
          <w:rFonts w:ascii="Arial" w:hAnsi="Arial" w:cs="Arial"/>
        </w:rPr>
        <w:t xml:space="preserve">de la </w:t>
      </w:r>
      <w:r w:rsidRPr="00B92499">
        <w:rPr>
          <w:rFonts w:ascii="Arial" w:hAnsi="Arial" w:cs="Arial"/>
        </w:rPr>
        <w:t xml:space="preserve">Ciudad en México (85.38%), el 1.91% pertenece a notas aclaratorias y el 83.48% a información publicada en la Plataforma Nacional y en los portales institucionales. A través de las notas aclaratorias los sujetos obligados explican la ausencia de información. </w:t>
      </w:r>
    </w:p>
    <w:p w14:paraId="77B7300D" w14:textId="77777777" w:rsidR="00C9398D" w:rsidRPr="00B92499" w:rsidRDefault="00C9398D" w:rsidP="00C9398D">
      <w:pPr>
        <w:spacing w:line="360" w:lineRule="auto"/>
        <w:contextualSpacing/>
        <w:jc w:val="both"/>
        <w:rPr>
          <w:rFonts w:ascii="Arial" w:hAnsi="Arial" w:cs="Arial"/>
        </w:rPr>
      </w:pPr>
    </w:p>
    <w:p w14:paraId="49BB67DF" w14:textId="77777777" w:rsidR="00C9398D" w:rsidRPr="00B92499" w:rsidRDefault="00C9398D" w:rsidP="00C9398D">
      <w:pPr>
        <w:spacing w:line="360" w:lineRule="auto"/>
        <w:contextualSpacing/>
        <w:jc w:val="both"/>
        <w:rPr>
          <w:rFonts w:ascii="Arial" w:hAnsi="Arial" w:cs="Arial"/>
        </w:rPr>
      </w:pPr>
      <w:r w:rsidRPr="00B92499">
        <w:rPr>
          <w:rFonts w:ascii="Arial" w:hAnsi="Arial" w:cs="Arial"/>
        </w:rPr>
        <w:t xml:space="preserve">En este contexto, el promedio equivalente a notas aclaratorias por ámbito corresponde al 1.24% de la Administración Central, 1.17% de Órganos Desconcentrados, 2.34% de Alcaldías, 3.9% del Poder Legislativo, 4.4% sobre Órganos Autónomos y 1.6% de Sindicatos. </w:t>
      </w:r>
    </w:p>
    <w:p w14:paraId="358CA74F" w14:textId="77777777" w:rsidR="00C9398D" w:rsidRPr="00B92499" w:rsidRDefault="00C9398D" w:rsidP="00C9398D">
      <w:pPr>
        <w:spacing w:line="360" w:lineRule="auto"/>
        <w:contextualSpacing/>
        <w:jc w:val="both"/>
        <w:rPr>
          <w:rFonts w:ascii="Arial" w:hAnsi="Arial" w:cs="Arial"/>
        </w:rPr>
      </w:pPr>
    </w:p>
    <w:p w14:paraId="6FFB5E9C" w14:textId="77777777" w:rsidR="00C9398D" w:rsidRPr="00B92499" w:rsidRDefault="00C9398D" w:rsidP="00C9398D">
      <w:pPr>
        <w:spacing w:line="360" w:lineRule="auto"/>
        <w:contextualSpacing/>
        <w:jc w:val="both"/>
        <w:rPr>
          <w:rFonts w:ascii="Arial" w:hAnsi="Arial" w:cs="Arial"/>
        </w:rPr>
      </w:pPr>
      <w:r w:rsidRPr="00B92499">
        <w:rPr>
          <w:rFonts w:ascii="Arial" w:hAnsi="Arial" w:cs="Arial"/>
        </w:rPr>
        <w:t>Los resultados anteriormente expuestos se presentan en las siguientes tabla y gráfica:</w:t>
      </w:r>
    </w:p>
    <w:p w14:paraId="19696981" w14:textId="77777777" w:rsidR="00C9398D" w:rsidRPr="00B92499" w:rsidRDefault="00C9398D" w:rsidP="00C9398D">
      <w:pPr>
        <w:spacing w:line="360" w:lineRule="auto"/>
        <w:contextualSpacing/>
        <w:jc w:val="center"/>
        <w:rPr>
          <w:rFonts w:ascii="Arial" w:hAnsi="Arial" w:cs="Arial"/>
          <w:sz w:val="20"/>
          <w:szCs w:val="20"/>
        </w:rPr>
      </w:pPr>
    </w:p>
    <w:tbl>
      <w:tblPr>
        <w:tblW w:w="8918" w:type="dxa"/>
        <w:tblInd w:w="75" w:type="dxa"/>
        <w:tblCellMar>
          <w:left w:w="70" w:type="dxa"/>
          <w:right w:w="70" w:type="dxa"/>
        </w:tblCellMar>
        <w:tblLook w:val="04A0" w:firstRow="1" w:lastRow="0" w:firstColumn="1" w:lastColumn="0" w:noHBand="0" w:noVBand="1"/>
      </w:tblPr>
      <w:tblGrid>
        <w:gridCol w:w="1819"/>
        <w:gridCol w:w="1085"/>
        <w:gridCol w:w="1474"/>
        <w:gridCol w:w="1474"/>
        <w:gridCol w:w="1618"/>
        <w:gridCol w:w="1618"/>
      </w:tblGrid>
      <w:tr w:rsidR="00C9398D" w:rsidRPr="00B92499" w14:paraId="57938D7A" w14:textId="77777777" w:rsidTr="00F93DEA">
        <w:trPr>
          <w:trHeight w:val="14"/>
          <w:tblHeader/>
        </w:trPr>
        <w:tc>
          <w:tcPr>
            <w:tcW w:w="891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C0143D0"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Rubros de cumplimiento de los sujetos obligados de la Ciudad de México</w:t>
            </w:r>
          </w:p>
        </w:tc>
      </w:tr>
      <w:tr w:rsidR="00C9398D" w:rsidRPr="00B92499" w14:paraId="5E38A157" w14:textId="77777777" w:rsidTr="00F93DEA">
        <w:trPr>
          <w:trHeight w:val="14"/>
          <w:tblHeader/>
        </w:trPr>
        <w:tc>
          <w:tcPr>
            <w:tcW w:w="0" w:type="auto"/>
            <w:tcBorders>
              <w:top w:val="nil"/>
              <w:left w:val="single" w:sz="4" w:space="0" w:color="auto"/>
              <w:bottom w:val="single" w:sz="4" w:space="0" w:color="auto"/>
              <w:right w:val="single" w:sz="4" w:space="0" w:color="auto"/>
            </w:tcBorders>
            <w:shd w:val="clear" w:color="000000" w:fill="33CCCC"/>
            <w:vAlign w:val="center"/>
            <w:hideMark/>
          </w:tcPr>
          <w:p w14:paraId="52A77888"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Ámbito</w:t>
            </w:r>
          </w:p>
        </w:tc>
        <w:tc>
          <w:tcPr>
            <w:tcW w:w="1207" w:type="dxa"/>
            <w:tcBorders>
              <w:top w:val="nil"/>
              <w:left w:val="nil"/>
              <w:bottom w:val="single" w:sz="4" w:space="0" w:color="auto"/>
              <w:right w:val="single" w:sz="4" w:space="0" w:color="auto"/>
            </w:tcBorders>
            <w:shd w:val="clear" w:color="000000" w:fill="33CCCC"/>
            <w:vAlign w:val="center"/>
            <w:hideMark/>
          </w:tcPr>
          <w:p w14:paraId="7DC7D2DE"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Número total de sujetos obligados</w:t>
            </w:r>
          </w:p>
        </w:tc>
        <w:tc>
          <w:tcPr>
            <w:tcW w:w="1420" w:type="dxa"/>
            <w:tcBorders>
              <w:top w:val="nil"/>
              <w:left w:val="nil"/>
              <w:bottom w:val="single" w:sz="4" w:space="0" w:color="auto"/>
              <w:right w:val="single" w:sz="4" w:space="0" w:color="auto"/>
            </w:tcBorders>
            <w:shd w:val="clear" w:color="000000" w:fill="33CCCC"/>
            <w:vAlign w:val="center"/>
            <w:hideMark/>
          </w:tcPr>
          <w:p w14:paraId="75F18A34"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Cumplimiento total</w:t>
            </w:r>
          </w:p>
          <w:p w14:paraId="4E4FDAF6"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(100 puntos)</w:t>
            </w:r>
          </w:p>
        </w:tc>
        <w:tc>
          <w:tcPr>
            <w:tcW w:w="0" w:type="auto"/>
            <w:tcBorders>
              <w:top w:val="nil"/>
              <w:left w:val="nil"/>
              <w:bottom w:val="single" w:sz="4" w:space="0" w:color="auto"/>
              <w:right w:val="single" w:sz="4" w:space="0" w:color="auto"/>
            </w:tcBorders>
            <w:shd w:val="clear" w:color="000000" w:fill="33CCCC"/>
            <w:vAlign w:val="center"/>
            <w:hideMark/>
          </w:tcPr>
          <w:p w14:paraId="688FE2C3"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Cumplimiento parcial (</w:t>
            </w:r>
          </w:p>
          <w:p w14:paraId="72FB330C"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60 a 99.99 puntos)</w:t>
            </w:r>
          </w:p>
        </w:tc>
        <w:tc>
          <w:tcPr>
            <w:tcW w:w="0" w:type="auto"/>
            <w:tcBorders>
              <w:top w:val="nil"/>
              <w:left w:val="nil"/>
              <w:bottom w:val="single" w:sz="4" w:space="0" w:color="auto"/>
              <w:right w:val="single" w:sz="4" w:space="0" w:color="auto"/>
            </w:tcBorders>
            <w:shd w:val="clear" w:color="000000" w:fill="33CCCC"/>
            <w:vAlign w:val="center"/>
            <w:hideMark/>
          </w:tcPr>
          <w:p w14:paraId="29E235E4"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Incumplimiento parcial</w:t>
            </w:r>
          </w:p>
          <w:p w14:paraId="663A4045"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 a 59.99 puntos)</w:t>
            </w:r>
          </w:p>
        </w:tc>
        <w:tc>
          <w:tcPr>
            <w:tcW w:w="0" w:type="auto"/>
            <w:tcBorders>
              <w:top w:val="nil"/>
              <w:left w:val="nil"/>
              <w:bottom w:val="single" w:sz="4" w:space="0" w:color="auto"/>
              <w:right w:val="single" w:sz="4" w:space="0" w:color="auto"/>
            </w:tcBorders>
            <w:shd w:val="clear" w:color="000000" w:fill="33CCCC"/>
            <w:vAlign w:val="center"/>
            <w:hideMark/>
          </w:tcPr>
          <w:p w14:paraId="63C08C1A"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Incumplimiento total</w:t>
            </w:r>
          </w:p>
          <w:p w14:paraId="6CCBB701"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(0 puntos)</w:t>
            </w:r>
          </w:p>
        </w:tc>
      </w:tr>
      <w:tr w:rsidR="00C9398D" w:rsidRPr="00B92499" w14:paraId="2EC226AF" w14:textId="77777777" w:rsidTr="00F93DEA">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9269BC"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Administración Pública Centralizada</w:t>
            </w:r>
          </w:p>
        </w:tc>
        <w:tc>
          <w:tcPr>
            <w:tcW w:w="1207" w:type="dxa"/>
            <w:tcBorders>
              <w:top w:val="nil"/>
              <w:left w:val="nil"/>
              <w:bottom w:val="single" w:sz="4" w:space="0" w:color="auto"/>
              <w:right w:val="single" w:sz="4" w:space="0" w:color="auto"/>
            </w:tcBorders>
            <w:shd w:val="clear" w:color="000000" w:fill="FFFFFF"/>
            <w:vAlign w:val="center"/>
            <w:hideMark/>
          </w:tcPr>
          <w:p w14:paraId="34EF370D"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8</w:t>
            </w:r>
          </w:p>
        </w:tc>
        <w:tc>
          <w:tcPr>
            <w:tcW w:w="1420" w:type="dxa"/>
            <w:tcBorders>
              <w:top w:val="nil"/>
              <w:left w:val="nil"/>
              <w:bottom w:val="single" w:sz="4" w:space="0" w:color="auto"/>
              <w:right w:val="single" w:sz="4" w:space="0" w:color="auto"/>
            </w:tcBorders>
            <w:shd w:val="clear" w:color="auto" w:fill="auto"/>
            <w:vAlign w:val="center"/>
            <w:hideMark/>
          </w:tcPr>
          <w:p w14:paraId="581FBAD3"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544F06F8"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76CB3B85"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6DB75EF1"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239AF53B" w14:textId="77777777" w:rsidTr="00F93DEA">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952C709"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Órganos Desconcentrados</w:t>
            </w:r>
          </w:p>
        </w:tc>
        <w:tc>
          <w:tcPr>
            <w:tcW w:w="12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AA9EB4"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8</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14:paraId="57973196"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E562B4C"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AC7DA5A"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107D12"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3ABFE398" w14:textId="77777777" w:rsidTr="00F93DEA">
        <w:trPr>
          <w:trHeight w:val="458"/>
        </w:trPr>
        <w:tc>
          <w:tcPr>
            <w:tcW w:w="0" w:type="auto"/>
            <w:vMerge/>
            <w:tcBorders>
              <w:top w:val="nil"/>
              <w:left w:val="single" w:sz="4" w:space="0" w:color="auto"/>
              <w:bottom w:val="single" w:sz="4" w:space="0" w:color="auto"/>
              <w:right w:val="single" w:sz="4" w:space="0" w:color="auto"/>
            </w:tcBorders>
            <w:vAlign w:val="center"/>
            <w:hideMark/>
          </w:tcPr>
          <w:p w14:paraId="0ABE9C2C" w14:textId="77777777" w:rsidR="00C9398D" w:rsidRPr="00B92499" w:rsidRDefault="00C9398D" w:rsidP="00CF534F">
            <w:pPr>
              <w:jc w:val="center"/>
              <w:rPr>
                <w:rFonts w:ascii="Arial" w:hAnsi="Arial" w:cs="Arial"/>
                <w:b/>
                <w:bCs/>
                <w:color w:val="000000"/>
                <w:sz w:val="20"/>
                <w:szCs w:val="20"/>
              </w:rPr>
            </w:pPr>
          </w:p>
        </w:tc>
        <w:tc>
          <w:tcPr>
            <w:tcW w:w="1207" w:type="dxa"/>
            <w:vMerge/>
            <w:tcBorders>
              <w:top w:val="nil"/>
              <w:left w:val="single" w:sz="4" w:space="0" w:color="auto"/>
              <w:bottom w:val="single" w:sz="4" w:space="0" w:color="auto"/>
              <w:right w:val="single" w:sz="4" w:space="0" w:color="auto"/>
            </w:tcBorders>
            <w:vAlign w:val="center"/>
            <w:hideMark/>
          </w:tcPr>
          <w:p w14:paraId="4D79FF41" w14:textId="77777777" w:rsidR="00C9398D" w:rsidRPr="00B92499" w:rsidRDefault="00C9398D" w:rsidP="00CF534F">
            <w:pPr>
              <w:jc w:val="center"/>
              <w:rPr>
                <w:rFonts w:ascii="Arial" w:hAnsi="Arial" w:cs="Arial"/>
                <w:b/>
                <w:bCs/>
                <w:color w:val="000000"/>
                <w:sz w:val="20"/>
                <w:szCs w:val="20"/>
              </w:rPr>
            </w:pPr>
          </w:p>
        </w:tc>
        <w:tc>
          <w:tcPr>
            <w:tcW w:w="1420" w:type="dxa"/>
            <w:vMerge/>
            <w:tcBorders>
              <w:top w:val="nil"/>
              <w:left w:val="single" w:sz="4" w:space="0" w:color="auto"/>
              <w:bottom w:val="single" w:sz="4" w:space="0" w:color="auto"/>
              <w:right w:val="single" w:sz="4" w:space="0" w:color="auto"/>
            </w:tcBorders>
            <w:vAlign w:val="center"/>
            <w:hideMark/>
          </w:tcPr>
          <w:p w14:paraId="5C422E16" w14:textId="77777777" w:rsidR="00C9398D" w:rsidRPr="00B92499" w:rsidRDefault="00C9398D" w:rsidP="00CF534F">
            <w:pPr>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1EEFB26" w14:textId="77777777" w:rsidR="00C9398D" w:rsidRPr="00B92499" w:rsidRDefault="00C9398D" w:rsidP="00CF534F">
            <w:pPr>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825D5FD" w14:textId="77777777" w:rsidR="00C9398D" w:rsidRPr="00B92499" w:rsidRDefault="00C9398D" w:rsidP="00CF534F">
            <w:pPr>
              <w:jc w:val="center"/>
              <w:rPr>
                <w:rFonts w:ascii="Arial" w:hAnsi="Arial" w:cs="Arial"/>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E8F4E68" w14:textId="77777777" w:rsidR="00C9398D" w:rsidRPr="00B92499" w:rsidRDefault="00C9398D" w:rsidP="00CF534F">
            <w:pPr>
              <w:jc w:val="center"/>
              <w:rPr>
                <w:rFonts w:ascii="Arial" w:hAnsi="Arial" w:cs="Arial"/>
                <w:color w:val="000000"/>
                <w:sz w:val="20"/>
                <w:szCs w:val="20"/>
              </w:rPr>
            </w:pPr>
          </w:p>
        </w:tc>
      </w:tr>
      <w:tr w:rsidR="00C9398D" w:rsidRPr="00B92499" w14:paraId="6F467D0E" w14:textId="77777777" w:rsidTr="00F93DEA">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E8B02B3"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Alcaldías</w:t>
            </w:r>
          </w:p>
        </w:tc>
        <w:tc>
          <w:tcPr>
            <w:tcW w:w="1207" w:type="dxa"/>
            <w:tcBorders>
              <w:top w:val="nil"/>
              <w:left w:val="nil"/>
              <w:bottom w:val="single" w:sz="4" w:space="0" w:color="auto"/>
              <w:right w:val="single" w:sz="4" w:space="0" w:color="auto"/>
            </w:tcBorders>
            <w:shd w:val="clear" w:color="000000" w:fill="FFFFFF"/>
            <w:vAlign w:val="center"/>
            <w:hideMark/>
          </w:tcPr>
          <w:p w14:paraId="65F38DFA"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16</w:t>
            </w:r>
          </w:p>
        </w:tc>
        <w:tc>
          <w:tcPr>
            <w:tcW w:w="1420" w:type="dxa"/>
            <w:tcBorders>
              <w:top w:val="nil"/>
              <w:left w:val="nil"/>
              <w:bottom w:val="single" w:sz="4" w:space="0" w:color="auto"/>
              <w:right w:val="single" w:sz="4" w:space="0" w:color="auto"/>
            </w:tcBorders>
            <w:shd w:val="clear" w:color="auto" w:fill="auto"/>
            <w:vAlign w:val="center"/>
            <w:hideMark/>
          </w:tcPr>
          <w:p w14:paraId="4B9AA0E3"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061B01FB"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14:paraId="5527A1AB"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6C7212C2"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08598690" w14:textId="77777777" w:rsidTr="00F93DEA">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388788"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Poder Legislativo</w:t>
            </w:r>
          </w:p>
        </w:tc>
        <w:tc>
          <w:tcPr>
            <w:tcW w:w="1207" w:type="dxa"/>
            <w:tcBorders>
              <w:top w:val="nil"/>
              <w:left w:val="nil"/>
              <w:bottom w:val="single" w:sz="4" w:space="0" w:color="auto"/>
              <w:right w:val="single" w:sz="4" w:space="0" w:color="auto"/>
            </w:tcBorders>
            <w:shd w:val="clear" w:color="000000" w:fill="FFFFFF"/>
            <w:vAlign w:val="center"/>
            <w:hideMark/>
          </w:tcPr>
          <w:p w14:paraId="59B45993"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w:t>
            </w:r>
          </w:p>
        </w:tc>
        <w:tc>
          <w:tcPr>
            <w:tcW w:w="1420" w:type="dxa"/>
            <w:tcBorders>
              <w:top w:val="nil"/>
              <w:left w:val="nil"/>
              <w:bottom w:val="single" w:sz="4" w:space="0" w:color="auto"/>
              <w:right w:val="single" w:sz="4" w:space="0" w:color="auto"/>
            </w:tcBorders>
            <w:shd w:val="clear" w:color="auto" w:fill="auto"/>
            <w:vAlign w:val="center"/>
            <w:hideMark/>
          </w:tcPr>
          <w:p w14:paraId="76DD4F44"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2336CF01"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08B0110A"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658A5E88"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5FE9B384" w14:textId="77777777" w:rsidTr="00F93DEA">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8BFF27"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Órgano Autónomo</w:t>
            </w:r>
          </w:p>
        </w:tc>
        <w:tc>
          <w:tcPr>
            <w:tcW w:w="1207" w:type="dxa"/>
            <w:tcBorders>
              <w:top w:val="nil"/>
              <w:left w:val="nil"/>
              <w:bottom w:val="single" w:sz="4" w:space="0" w:color="auto"/>
              <w:right w:val="single" w:sz="4" w:space="0" w:color="auto"/>
            </w:tcBorders>
            <w:shd w:val="clear" w:color="000000" w:fill="FFFFFF"/>
            <w:vAlign w:val="center"/>
            <w:hideMark/>
          </w:tcPr>
          <w:p w14:paraId="2EC867E4"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w:t>
            </w:r>
          </w:p>
        </w:tc>
        <w:tc>
          <w:tcPr>
            <w:tcW w:w="1420" w:type="dxa"/>
            <w:tcBorders>
              <w:top w:val="nil"/>
              <w:left w:val="nil"/>
              <w:bottom w:val="single" w:sz="4" w:space="0" w:color="auto"/>
              <w:right w:val="single" w:sz="4" w:space="0" w:color="auto"/>
            </w:tcBorders>
            <w:shd w:val="clear" w:color="auto" w:fill="auto"/>
            <w:vAlign w:val="center"/>
            <w:hideMark/>
          </w:tcPr>
          <w:p w14:paraId="59465EE2"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7BB2E1C2"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188BD1A1"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46F5D498"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575BC52E" w14:textId="77777777" w:rsidTr="00F93DEA">
        <w:trPr>
          <w:trHeight w:val="39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98C92A"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Sindicato</w:t>
            </w:r>
          </w:p>
        </w:tc>
        <w:tc>
          <w:tcPr>
            <w:tcW w:w="1207" w:type="dxa"/>
            <w:tcBorders>
              <w:top w:val="nil"/>
              <w:left w:val="nil"/>
              <w:bottom w:val="single" w:sz="4" w:space="0" w:color="auto"/>
              <w:right w:val="single" w:sz="4" w:space="0" w:color="auto"/>
            </w:tcBorders>
            <w:shd w:val="clear" w:color="000000" w:fill="FFFFFF"/>
            <w:vAlign w:val="center"/>
            <w:hideMark/>
          </w:tcPr>
          <w:p w14:paraId="376A0D8D"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1</w:t>
            </w:r>
          </w:p>
        </w:tc>
        <w:tc>
          <w:tcPr>
            <w:tcW w:w="1420" w:type="dxa"/>
            <w:tcBorders>
              <w:top w:val="nil"/>
              <w:left w:val="nil"/>
              <w:bottom w:val="single" w:sz="4" w:space="0" w:color="auto"/>
              <w:right w:val="single" w:sz="4" w:space="0" w:color="auto"/>
            </w:tcBorders>
            <w:shd w:val="clear" w:color="auto" w:fill="auto"/>
            <w:vAlign w:val="center"/>
            <w:hideMark/>
          </w:tcPr>
          <w:p w14:paraId="7A96A406"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001F772A"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522B38D5"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vAlign w:val="center"/>
            <w:hideMark/>
          </w:tcPr>
          <w:p w14:paraId="5F303485" w14:textId="77777777" w:rsidR="00C9398D" w:rsidRPr="00B92499" w:rsidRDefault="00C9398D" w:rsidP="00CF534F">
            <w:pPr>
              <w:jc w:val="center"/>
              <w:rPr>
                <w:rFonts w:ascii="Arial" w:hAnsi="Arial" w:cs="Arial"/>
                <w:color w:val="000000"/>
                <w:sz w:val="20"/>
                <w:szCs w:val="20"/>
              </w:rPr>
            </w:pPr>
            <w:r w:rsidRPr="00B92499">
              <w:rPr>
                <w:rFonts w:ascii="Arial" w:hAnsi="Arial" w:cs="Arial"/>
                <w:color w:val="000000"/>
                <w:sz w:val="20"/>
                <w:szCs w:val="20"/>
              </w:rPr>
              <w:t>0</w:t>
            </w:r>
          </w:p>
        </w:tc>
      </w:tr>
      <w:tr w:rsidR="00C9398D" w:rsidRPr="00B92499" w14:paraId="3FAA185F" w14:textId="77777777" w:rsidTr="00F93DEA">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A86101"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Total</w:t>
            </w:r>
          </w:p>
        </w:tc>
        <w:tc>
          <w:tcPr>
            <w:tcW w:w="1207" w:type="dxa"/>
            <w:tcBorders>
              <w:top w:val="nil"/>
              <w:left w:val="nil"/>
              <w:bottom w:val="single" w:sz="4" w:space="0" w:color="auto"/>
              <w:right w:val="single" w:sz="4" w:space="0" w:color="auto"/>
            </w:tcBorders>
            <w:shd w:val="clear" w:color="auto" w:fill="auto"/>
            <w:vAlign w:val="center"/>
            <w:hideMark/>
          </w:tcPr>
          <w:p w14:paraId="349E67C3"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35</w:t>
            </w:r>
          </w:p>
        </w:tc>
        <w:tc>
          <w:tcPr>
            <w:tcW w:w="1420" w:type="dxa"/>
            <w:tcBorders>
              <w:top w:val="nil"/>
              <w:left w:val="nil"/>
              <w:bottom w:val="single" w:sz="4" w:space="0" w:color="auto"/>
              <w:right w:val="single" w:sz="4" w:space="0" w:color="auto"/>
            </w:tcBorders>
            <w:shd w:val="clear" w:color="auto" w:fill="auto"/>
            <w:vAlign w:val="center"/>
            <w:hideMark/>
          </w:tcPr>
          <w:p w14:paraId="3BFF7C2E"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14:paraId="534BD078"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14:paraId="1E896AAE"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14:paraId="18CE5BF2" w14:textId="77777777" w:rsidR="00C9398D" w:rsidRPr="00B92499" w:rsidRDefault="00C9398D" w:rsidP="00CF534F">
            <w:pPr>
              <w:jc w:val="center"/>
              <w:rPr>
                <w:rFonts w:ascii="Arial" w:hAnsi="Arial" w:cs="Arial"/>
                <w:b/>
                <w:bCs/>
                <w:color w:val="000000"/>
                <w:sz w:val="20"/>
                <w:szCs w:val="20"/>
              </w:rPr>
            </w:pPr>
            <w:r w:rsidRPr="00B92499">
              <w:rPr>
                <w:rFonts w:ascii="Arial" w:hAnsi="Arial" w:cs="Arial"/>
                <w:b/>
                <w:bCs/>
                <w:color w:val="000000"/>
                <w:sz w:val="20"/>
                <w:szCs w:val="20"/>
              </w:rPr>
              <w:t>0</w:t>
            </w:r>
          </w:p>
        </w:tc>
      </w:tr>
    </w:tbl>
    <w:p w14:paraId="7B75DCF5" w14:textId="77777777" w:rsidR="00C9398D" w:rsidRPr="00B92499" w:rsidRDefault="00C9398D" w:rsidP="00C9398D">
      <w:pPr>
        <w:pStyle w:val="Ttulo1"/>
        <w:jc w:val="center"/>
        <w:rPr>
          <w:rFonts w:ascii="Arial" w:hAnsi="Arial" w:cs="Arial"/>
          <w:b/>
          <w:color w:val="auto"/>
          <w:sz w:val="20"/>
          <w:szCs w:val="20"/>
        </w:rPr>
      </w:pPr>
    </w:p>
    <w:p w14:paraId="73AAAB25" w14:textId="77777777" w:rsidR="00C9398D" w:rsidRPr="00B92499" w:rsidRDefault="00C9398D" w:rsidP="00C9398D">
      <w:pPr>
        <w:jc w:val="center"/>
      </w:pPr>
      <w:r w:rsidRPr="00B92499">
        <w:rPr>
          <w:rFonts w:ascii="Arial" w:hAnsi="Arial" w:cs="Arial"/>
          <w:noProof/>
          <w:sz w:val="20"/>
          <w:szCs w:val="20"/>
          <w:lang w:eastAsia="es-MX"/>
        </w:rPr>
        <w:drawing>
          <wp:anchor distT="0" distB="0" distL="114300" distR="114300" simplePos="0" relativeHeight="251659264" behindDoc="0" locked="0" layoutInCell="1" allowOverlap="1" wp14:anchorId="7574AC4A" wp14:editId="18028AD9">
            <wp:simplePos x="0" y="0"/>
            <wp:positionH relativeFrom="column">
              <wp:posOffset>0</wp:posOffset>
            </wp:positionH>
            <wp:positionV relativeFrom="paragraph">
              <wp:posOffset>285115</wp:posOffset>
            </wp:positionV>
            <wp:extent cx="5486400" cy="3200400"/>
            <wp:effectExtent l="0" t="0" r="0" b="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8CBF492" w14:textId="015E6B75" w:rsidR="005A0F6E" w:rsidRPr="00B92499" w:rsidRDefault="005A0F6E" w:rsidP="002E7D47">
      <w:pPr>
        <w:contextualSpacing/>
        <w:rPr>
          <w:rFonts w:ascii="Arial" w:hAnsi="Arial" w:cs="Arial"/>
        </w:rPr>
      </w:pPr>
    </w:p>
    <w:p w14:paraId="1B43ED7D" w14:textId="77777777" w:rsidR="00C9398D" w:rsidRPr="00B92499" w:rsidRDefault="00C9398D">
      <w:pPr>
        <w:spacing w:after="160" w:line="259" w:lineRule="auto"/>
        <w:rPr>
          <w:rFonts w:ascii="Arial" w:eastAsiaTheme="majorEastAsia" w:hAnsi="Arial" w:cs="Arial"/>
          <w:b/>
          <w:szCs w:val="32"/>
          <w:lang w:val="es-ES_tradnl" w:eastAsia="en-US"/>
        </w:rPr>
      </w:pPr>
      <w:r w:rsidRPr="00B92499">
        <w:rPr>
          <w:rFonts w:ascii="Arial" w:hAnsi="Arial" w:cs="Arial"/>
          <w:b/>
        </w:rPr>
        <w:br w:type="page"/>
      </w:r>
    </w:p>
    <w:p w14:paraId="0D8152D6" w14:textId="28352E74" w:rsidR="00C9398D" w:rsidRPr="00B92499" w:rsidRDefault="00C9398D" w:rsidP="00C9398D">
      <w:pPr>
        <w:pStyle w:val="Ttulo1"/>
        <w:jc w:val="both"/>
        <w:rPr>
          <w:rFonts w:ascii="Arial" w:hAnsi="Arial" w:cs="Arial"/>
          <w:b/>
          <w:color w:val="auto"/>
          <w:sz w:val="24"/>
        </w:rPr>
      </w:pPr>
      <w:bookmarkStart w:id="8" w:name="_Toc23252966"/>
      <w:r w:rsidRPr="00B92499">
        <w:rPr>
          <w:rFonts w:ascii="Arial" w:hAnsi="Arial" w:cs="Arial"/>
          <w:b/>
          <w:color w:val="auto"/>
          <w:sz w:val="24"/>
        </w:rPr>
        <w:lastRenderedPageBreak/>
        <w:t>TABLA DE RESULTADOS DE LA SEGUNDA EVALUACIÓN VINCULANTE 2019, RESPECTO DEL PRIMER SEMESTRE DEL EJERCICIO 2019, SOBRE LOS 35 SUJETOS OBLIGADOS INCORPORADOS AL PADRÓN</w:t>
      </w:r>
      <w:bookmarkEnd w:id="8"/>
    </w:p>
    <w:p w14:paraId="1360C844" w14:textId="77777777" w:rsidR="00507F70" w:rsidRPr="00B92499" w:rsidRDefault="00507F70" w:rsidP="00507F70">
      <w:pPr>
        <w:jc w:val="both"/>
      </w:pPr>
    </w:p>
    <w:tbl>
      <w:tblPr>
        <w:tblW w:w="9634" w:type="dxa"/>
        <w:tblCellMar>
          <w:left w:w="70" w:type="dxa"/>
          <w:right w:w="70" w:type="dxa"/>
        </w:tblCellMar>
        <w:tblLook w:val="04A0" w:firstRow="1" w:lastRow="0" w:firstColumn="1" w:lastColumn="0" w:noHBand="0" w:noVBand="1"/>
      </w:tblPr>
      <w:tblGrid>
        <w:gridCol w:w="1271"/>
        <w:gridCol w:w="5812"/>
        <w:gridCol w:w="2551"/>
      </w:tblGrid>
      <w:tr w:rsidR="00507F70" w:rsidRPr="00B92499" w14:paraId="61D0E18C" w14:textId="77777777" w:rsidTr="00CF534F">
        <w:trPr>
          <w:trHeight w:val="960"/>
        </w:trPr>
        <w:tc>
          <w:tcPr>
            <w:tcW w:w="1271" w:type="dxa"/>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02EF92DA"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5812" w:type="dxa"/>
            <w:tcBorders>
              <w:top w:val="single" w:sz="4" w:space="0" w:color="auto"/>
              <w:left w:val="nil"/>
              <w:bottom w:val="single" w:sz="4" w:space="0" w:color="auto"/>
              <w:right w:val="single" w:sz="4" w:space="0" w:color="auto"/>
            </w:tcBorders>
            <w:shd w:val="clear" w:color="auto" w:fill="33CCCC"/>
            <w:noWrap/>
            <w:vAlign w:val="center"/>
            <w:hideMark/>
          </w:tcPr>
          <w:p w14:paraId="3BE166E0"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Denominación del Sujeto Obligado</w:t>
            </w:r>
          </w:p>
        </w:tc>
        <w:tc>
          <w:tcPr>
            <w:tcW w:w="2551" w:type="dxa"/>
            <w:tcBorders>
              <w:top w:val="single" w:sz="4" w:space="0" w:color="auto"/>
              <w:left w:val="nil"/>
              <w:bottom w:val="single" w:sz="4" w:space="0" w:color="auto"/>
              <w:right w:val="single" w:sz="4" w:space="0" w:color="auto"/>
            </w:tcBorders>
            <w:shd w:val="clear" w:color="000000" w:fill="33CCCC"/>
            <w:vAlign w:val="center"/>
            <w:hideMark/>
          </w:tcPr>
          <w:p w14:paraId="51346343"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IGOT</w:t>
            </w:r>
            <w:r w:rsidRPr="00B92499">
              <w:rPr>
                <w:rFonts w:ascii="Arial" w:hAnsi="Arial" w:cs="Arial"/>
                <w:b/>
                <w:bCs/>
                <w:color w:val="000000"/>
                <w:sz w:val="16"/>
                <w:szCs w:val="16"/>
              </w:rPr>
              <w:br/>
              <w:t>(Índice General de Cumplimiento de Obligaciones de Transparencia)</w:t>
            </w:r>
            <w:r w:rsidRPr="00B92499">
              <w:rPr>
                <w:rFonts w:ascii="Arial" w:hAnsi="Arial" w:cs="Arial"/>
                <w:b/>
                <w:bCs/>
                <w:color w:val="000000"/>
                <w:sz w:val="16"/>
                <w:szCs w:val="16"/>
              </w:rPr>
              <w:br/>
              <w:t>2019</w:t>
            </w:r>
          </w:p>
        </w:tc>
      </w:tr>
      <w:tr w:rsidR="00507F70" w:rsidRPr="00B92499" w14:paraId="5F54C2B2"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auto" w:fill="33CCCC"/>
            <w:vAlign w:val="center"/>
          </w:tcPr>
          <w:p w14:paraId="25699A64"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Poder Ejecutivo - Administración Pública Central</w:t>
            </w:r>
          </w:p>
        </w:tc>
      </w:tr>
      <w:tr w:rsidR="00507F70" w:rsidRPr="00B92499" w14:paraId="50179CDE" w14:textId="77777777" w:rsidTr="00CF534F">
        <w:trPr>
          <w:trHeight w:val="300"/>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E14BC"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w:t>
            </w:r>
          </w:p>
        </w:tc>
        <w:tc>
          <w:tcPr>
            <w:tcW w:w="5812" w:type="dxa"/>
            <w:tcBorders>
              <w:top w:val="single" w:sz="4" w:space="0" w:color="auto"/>
              <w:left w:val="nil"/>
              <w:bottom w:val="single" w:sz="4" w:space="0" w:color="auto"/>
              <w:right w:val="single" w:sz="4" w:space="0" w:color="auto"/>
            </w:tcBorders>
            <w:shd w:val="clear" w:color="000000" w:fill="FFFFFF"/>
            <w:noWrap/>
            <w:vAlign w:val="center"/>
            <w:hideMark/>
          </w:tcPr>
          <w:p w14:paraId="042E439F"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Administración y Finanzas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E4DDA2"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4B4F08A2"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4E9C4CB"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w:t>
            </w:r>
          </w:p>
        </w:tc>
        <w:tc>
          <w:tcPr>
            <w:tcW w:w="5812" w:type="dxa"/>
            <w:tcBorders>
              <w:top w:val="nil"/>
              <w:left w:val="nil"/>
              <w:bottom w:val="single" w:sz="4" w:space="0" w:color="auto"/>
              <w:right w:val="single" w:sz="4" w:space="0" w:color="auto"/>
            </w:tcBorders>
            <w:shd w:val="clear" w:color="000000" w:fill="FFFFFF"/>
            <w:noWrap/>
            <w:vAlign w:val="center"/>
            <w:hideMark/>
          </w:tcPr>
          <w:p w14:paraId="072F78EA"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 xml:space="preserve">Secretaría de la Contraloría General </w:t>
            </w:r>
          </w:p>
        </w:tc>
        <w:tc>
          <w:tcPr>
            <w:tcW w:w="2551" w:type="dxa"/>
            <w:tcBorders>
              <w:top w:val="nil"/>
              <w:left w:val="nil"/>
              <w:bottom w:val="single" w:sz="4" w:space="0" w:color="auto"/>
              <w:right w:val="single" w:sz="4" w:space="0" w:color="auto"/>
            </w:tcBorders>
            <w:shd w:val="clear" w:color="auto" w:fill="auto"/>
            <w:vAlign w:val="center"/>
            <w:hideMark/>
          </w:tcPr>
          <w:p w14:paraId="433E625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51730681"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20AF9B5"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w:t>
            </w:r>
          </w:p>
        </w:tc>
        <w:tc>
          <w:tcPr>
            <w:tcW w:w="5812" w:type="dxa"/>
            <w:tcBorders>
              <w:top w:val="nil"/>
              <w:left w:val="nil"/>
              <w:bottom w:val="single" w:sz="4" w:space="0" w:color="auto"/>
              <w:right w:val="single" w:sz="4" w:space="0" w:color="auto"/>
            </w:tcBorders>
            <w:shd w:val="clear" w:color="000000" w:fill="FFFFFF"/>
            <w:noWrap/>
            <w:vAlign w:val="center"/>
            <w:hideMark/>
          </w:tcPr>
          <w:p w14:paraId="6A1A59D6"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Seguridad Ciudadana</w:t>
            </w:r>
          </w:p>
        </w:tc>
        <w:tc>
          <w:tcPr>
            <w:tcW w:w="2551" w:type="dxa"/>
            <w:tcBorders>
              <w:top w:val="nil"/>
              <w:left w:val="nil"/>
              <w:bottom w:val="single" w:sz="4" w:space="0" w:color="auto"/>
              <w:right w:val="single" w:sz="4" w:space="0" w:color="auto"/>
            </w:tcBorders>
            <w:shd w:val="clear" w:color="auto" w:fill="auto"/>
            <w:vAlign w:val="center"/>
            <w:hideMark/>
          </w:tcPr>
          <w:p w14:paraId="0FF552B8"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69C76A4D"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4CD5C67"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4</w:t>
            </w:r>
          </w:p>
        </w:tc>
        <w:tc>
          <w:tcPr>
            <w:tcW w:w="5812" w:type="dxa"/>
            <w:tcBorders>
              <w:top w:val="nil"/>
              <w:left w:val="nil"/>
              <w:bottom w:val="single" w:sz="4" w:space="0" w:color="auto"/>
              <w:right w:val="single" w:sz="4" w:space="0" w:color="auto"/>
            </w:tcBorders>
            <w:shd w:val="clear" w:color="000000" w:fill="FFFFFF"/>
            <w:noWrap/>
            <w:vAlign w:val="center"/>
            <w:hideMark/>
          </w:tcPr>
          <w:p w14:paraId="155EB795"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Inclusión y Bienestar Social</w:t>
            </w:r>
          </w:p>
        </w:tc>
        <w:tc>
          <w:tcPr>
            <w:tcW w:w="2551" w:type="dxa"/>
            <w:tcBorders>
              <w:top w:val="nil"/>
              <w:left w:val="nil"/>
              <w:bottom w:val="single" w:sz="4" w:space="0" w:color="auto"/>
              <w:right w:val="single" w:sz="4" w:space="0" w:color="auto"/>
            </w:tcBorders>
            <w:shd w:val="clear" w:color="auto" w:fill="auto"/>
            <w:vAlign w:val="center"/>
            <w:hideMark/>
          </w:tcPr>
          <w:p w14:paraId="6DB592A3"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6025A08D"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2460C2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5</w:t>
            </w:r>
          </w:p>
        </w:tc>
        <w:tc>
          <w:tcPr>
            <w:tcW w:w="5812" w:type="dxa"/>
            <w:tcBorders>
              <w:top w:val="nil"/>
              <w:left w:val="nil"/>
              <w:bottom w:val="single" w:sz="4" w:space="0" w:color="auto"/>
              <w:right w:val="single" w:sz="4" w:space="0" w:color="auto"/>
            </w:tcBorders>
            <w:shd w:val="clear" w:color="000000" w:fill="FFFFFF"/>
            <w:noWrap/>
            <w:vAlign w:val="center"/>
            <w:hideMark/>
          </w:tcPr>
          <w:p w14:paraId="744DEC04"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Educación, Ciencia, Tecnología e Innovación</w:t>
            </w:r>
          </w:p>
        </w:tc>
        <w:tc>
          <w:tcPr>
            <w:tcW w:w="2551" w:type="dxa"/>
            <w:tcBorders>
              <w:top w:val="nil"/>
              <w:left w:val="nil"/>
              <w:bottom w:val="single" w:sz="4" w:space="0" w:color="auto"/>
              <w:right w:val="single" w:sz="4" w:space="0" w:color="auto"/>
            </w:tcBorders>
            <w:shd w:val="clear" w:color="auto" w:fill="auto"/>
            <w:vAlign w:val="center"/>
            <w:hideMark/>
          </w:tcPr>
          <w:p w14:paraId="6C64553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98.92</w:t>
            </w:r>
          </w:p>
        </w:tc>
      </w:tr>
      <w:tr w:rsidR="00507F70" w:rsidRPr="00B92499" w14:paraId="1CDE37AC"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E8D3A62"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6</w:t>
            </w:r>
          </w:p>
        </w:tc>
        <w:tc>
          <w:tcPr>
            <w:tcW w:w="5812" w:type="dxa"/>
            <w:tcBorders>
              <w:top w:val="nil"/>
              <w:left w:val="nil"/>
              <w:bottom w:val="single" w:sz="4" w:space="0" w:color="auto"/>
              <w:right w:val="single" w:sz="4" w:space="0" w:color="auto"/>
            </w:tcBorders>
            <w:shd w:val="clear" w:color="000000" w:fill="FFFFFF"/>
            <w:noWrap/>
            <w:vAlign w:val="center"/>
            <w:hideMark/>
          </w:tcPr>
          <w:p w14:paraId="2B05906D"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las Mujeres</w:t>
            </w:r>
          </w:p>
        </w:tc>
        <w:tc>
          <w:tcPr>
            <w:tcW w:w="2551" w:type="dxa"/>
            <w:tcBorders>
              <w:top w:val="nil"/>
              <w:left w:val="nil"/>
              <w:bottom w:val="single" w:sz="4" w:space="0" w:color="auto"/>
              <w:right w:val="single" w:sz="4" w:space="0" w:color="auto"/>
            </w:tcBorders>
            <w:shd w:val="clear" w:color="auto" w:fill="auto"/>
            <w:vAlign w:val="center"/>
            <w:hideMark/>
          </w:tcPr>
          <w:p w14:paraId="0F8282B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91.90</w:t>
            </w:r>
          </w:p>
        </w:tc>
      </w:tr>
      <w:tr w:rsidR="00507F70" w:rsidRPr="00B92499" w14:paraId="0E75AFA7"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40A7F0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7</w:t>
            </w:r>
          </w:p>
        </w:tc>
        <w:tc>
          <w:tcPr>
            <w:tcW w:w="5812" w:type="dxa"/>
            <w:tcBorders>
              <w:top w:val="nil"/>
              <w:left w:val="nil"/>
              <w:bottom w:val="single" w:sz="4" w:space="0" w:color="auto"/>
              <w:right w:val="single" w:sz="4" w:space="0" w:color="auto"/>
            </w:tcBorders>
            <w:shd w:val="clear" w:color="000000" w:fill="FFFFFF"/>
            <w:noWrap/>
            <w:vAlign w:val="center"/>
            <w:hideMark/>
          </w:tcPr>
          <w:p w14:paraId="71B701B5"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Gestión Integral de Riesgos y Protección Civil</w:t>
            </w:r>
          </w:p>
        </w:tc>
        <w:tc>
          <w:tcPr>
            <w:tcW w:w="2551" w:type="dxa"/>
            <w:tcBorders>
              <w:top w:val="nil"/>
              <w:left w:val="nil"/>
              <w:bottom w:val="single" w:sz="4" w:space="0" w:color="auto"/>
              <w:right w:val="single" w:sz="4" w:space="0" w:color="auto"/>
            </w:tcBorders>
            <w:shd w:val="clear" w:color="auto" w:fill="auto"/>
            <w:vAlign w:val="center"/>
            <w:hideMark/>
          </w:tcPr>
          <w:p w14:paraId="14C96D60"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90.18</w:t>
            </w:r>
          </w:p>
        </w:tc>
      </w:tr>
      <w:tr w:rsidR="00507F70" w:rsidRPr="00B92499" w14:paraId="6AB90AA6"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3E060D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w:t>
            </w:r>
          </w:p>
        </w:tc>
        <w:tc>
          <w:tcPr>
            <w:tcW w:w="5812" w:type="dxa"/>
            <w:tcBorders>
              <w:top w:val="nil"/>
              <w:left w:val="nil"/>
              <w:bottom w:val="single" w:sz="4" w:space="0" w:color="auto"/>
              <w:right w:val="single" w:sz="4" w:space="0" w:color="auto"/>
            </w:tcBorders>
            <w:shd w:val="clear" w:color="auto" w:fill="auto"/>
            <w:noWrap/>
            <w:vAlign w:val="center"/>
            <w:hideMark/>
          </w:tcPr>
          <w:p w14:paraId="61F05419"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Secretaría de Pueblos y Barrios Originarios y Comunidades Indígenas Residentes</w:t>
            </w:r>
          </w:p>
        </w:tc>
        <w:tc>
          <w:tcPr>
            <w:tcW w:w="2551" w:type="dxa"/>
            <w:tcBorders>
              <w:top w:val="nil"/>
              <w:left w:val="nil"/>
              <w:bottom w:val="single" w:sz="4" w:space="0" w:color="auto"/>
              <w:right w:val="single" w:sz="4" w:space="0" w:color="auto"/>
            </w:tcBorders>
            <w:shd w:val="clear" w:color="auto" w:fill="auto"/>
            <w:vAlign w:val="center"/>
            <w:hideMark/>
          </w:tcPr>
          <w:p w14:paraId="5BD7392B"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88.84</w:t>
            </w:r>
          </w:p>
        </w:tc>
      </w:tr>
      <w:tr w:rsidR="00507F70" w:rsidRPr="00B92499" w14:paraId="71DF48A6"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57DA6EF3"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Poder Ejecutivo - Desconcentrados y Paraestatales</w:t>
            </w:r>
          </w:p>
        </w:tc>
      </w:tr>
      <w:tr w:rsidR="00507F70" w:rsidRPr="00B92499" w14:paraId="109808C7"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DF3097C"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w:t>
            </w:r>
          </w:p>
        </w:tc>
        <w:tc>
          <w:tcPr>
            <w:tcW w:w="5812" w:type="dxa"/>
            <w:tcBorders>
              <w:top w:val="nil"/>
              <w:left w:val="nil"/>
              <w:bottom w:val="single" w:sz="4" w:space="0" w:color="auto"/>
              <w:right w:val="single" w:sz="4" w:space="0" w:color="auto"/>
            </w:tcBorders>
            <w:shd w:val="clear" w:color="000000" w:fill="FFFFFF"/>
            <w:noWrap/>
            <w:vAlign w:val="center"/>
            <w:hideMark/>
          </w:tcPr>
          <w:p w14:paraId="0FBF9338"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Agencia Digital de Innovación Pública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437F958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314BC612"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3957EA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w:t>
            </w:r>
          </w:p>
        </w:tc>
        <w:tc>
          <w:tcPr>
            <w:tcW w:w="5812" w:type="dxa"/>
            <w:tcBorders>
              <w:top w:val="nil"/>
              <w:left w:val="nil"/>
              <w:bottom w:val="single" w:sz="4" w:space="0" w:color="auto"/>
              <w:right w:val="single" w:sz="4" w:space="0" w:color="auto"/>
            </w:tcBorders>
            <w:shd w:val="clear" w:color="000000" w:fill="FFFFFF"/>
            <w:noWrap/>
            <w:vAlign w:val="center"/>
            <w:hideMark/>
          </w:tcPr>
          <w:p w14:paraId="0927B325"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Agencia de Atención Animal</w:t>
            </w:r>
          </w:p>
        </w:tc>
        <w:tc>
          <w:tcPr>
            <w:tcW w:w="2551" w:type="dxa"/>
            <w:tcBorders>
              <w:top w:val="nil"/>
              <w:left w:val="nil"/>
              <w:bottom w:val="single" w:sz="4" w:space="0" w:color="auto"/>
              <w:right w:val="single" w:sz="4" w:space="0" w:color="auto"/>
            </w:tcBorders>
            <w:shd w:val="clear" w:color="auto" w:fill="auto"/>
            <w:vAlign w:val="center"/>
            <w:hideMark/>
          </w:tcPr>
          <w:p w14:paraId="53103EF3"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89.57</w:t>
            </w:r>
          </w:p>
        </w:tc>
      </w:tr>
      <w:tr w:rsidR="00507F70" w:rsidRPr="00B92499" w14:paraId="1A58F544"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2FA798E"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11</w:t>
            </w:r>
          </w:p>
        </w:tc>
        <w:tc>
          <w:tcPr>
            <w:tcW w:w="5812" w:type="dxa"/>
            <w:tcBorders>
              <w:top w:val="nil"/>
              <w:left w:val="nil"/>
              <w:bottom w:val="single" w:sz="4" w:space="0" w:color="auto"/>
              <w:right w:val="single" w:sz="4" w:space="0" w:color="auto"/>
            </w:tcBorders>
            <w:shd w:val="clear" w:color="000000" w:fill="FFFFFF"/>
            <w:noWrap/>
            <w:vAlign w:val="center"/>
            <w:hideMark/>
          </w:tcPr>
          <w:p w14:paraId="1E160E56"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Órgano Regulador de Transporte</w:t>
            </w:r>
          </w:p>
        </w:tc>
        <w:tc>
          <w:tcPr>
            <w:tcW w:w="2551" w:type="dxa"/>
            <w:tcBorders>
              <w:top w:val="nil"/>
              <w:left w:val="nil"/>
              <w:bottom w:val="single" w:sz="4" w:space="0" w:color="auto"/>
              <w:right w:val="single" w:sz="4" w:space="0" w:color="auto"/>
            </w:tcBorders>
            <w:shd w:val="clear" w:color="auto" w:fill="auto"/>
            <w:vAlign w:val="center"/>
            <w:hideMark/>
          </w:tcPr>
          <w:p w14:paraId="4F30B33C"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87.74</w:t>
            </w:r>
          </w:p>
        </w:tc>
      </w:tr>
      <w:tr w:rsidR="00507F70" w:rsidRPr="00B92499" w14:paraId="2413B836"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1C5FDD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12</w:t>
            </w:r>
          </w:p>
        </w:tc>
        <w:tc>
          <w:tcPr>
            <w:tcW w:w="5812" w:type="dxa"/>
            <w:tcBorders>
              <w:top w:val="nil"/>
              <w:left w:val="nil"/>
              <w:bottom w:val="single" w:sz="4" w:space="0" w:color="auto"/>
              <w:right w:val="single" w:sz="4" w:space="0" w:color="auto"/>
            </w:tcBorders>
            <w:shd w:val="clear" w:color="000000" w:fill="FFFFFF"/>
            <w:noWrap/>
            <w:vAlign w:val="center"/>
            <w:hideMark/>
          </w:tcPr>
          <w:p w14:paraId="03A79CD7"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Sistema Público de Radiodifusión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50388A05"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87.70</w:t>
            </w:r>
          </w:p>
        </w:tc>
      </w:tr>
      <w:tr w:rsidR="00507F70" w:rsidRPr="00B92499" w14:paraId="5D0A67E1"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238EB3A7"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13</w:t>
            </w:r>
          </w:p>
        </w:tc>
        <w:tc>
          <w:tcPr>
            <w:tcW w:w="5812" w:type="dxa"/>
            <w:tcBorders>
              <w:top w:val="nil"/>
              <w:left w:val="nil"/>
              <w:bottom w:val="single" w:sz="4" w:space="0" w:color="auto"/>
              <w:right w:val="single" w:sz="4" w:space="0" w:color="auto"/>
            </w:tcBorders>
            <w:shd w:val="clear" w:color="000000" w:fill="FFFFFF"/>
            <w:noWrap/>
            <w:vAlign w:val="center"/>
            <w:hideMark/>
          </w:tcPr>
          <w:p w14:paraId="348EE4D0"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Red de Transporte Público de Pasajeros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68ECBC8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84.81</w:t>
            </w:r>
          </w:p>
        </w:tc>
      </w:tr>
      <w:tr w:rsidR="00507F70" w:rsidRPr="00B92499" w14:paraId="79831E53"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34009D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14</w:t>
            </w:r>
          </w:p>
        </w:tc>
        <w:tc>
          <w:tcPr>
            <w:tcW w:w="5812" w:type="dxa"/>
            <w:tcBorders>
              <w:top w:val="nil"/>
              <w:left w:val="nil"/>
              <w:bottom w:val="single" w:sz="4" w:space="0" w:color="auto"/>
              <w:right w:val="single" w:sz="4" w:space="0" w:color="auto"/>
            </w:tcBorders>
            <w:shd w:val="clear" w:color="000000" w:fill="FFFFFF"/>
            <w:noWrap/>
            <w:vAlign w:val="center"/>
            <w:hideMark/>
          </w:tcPr>
          <w:p w14:paraId="7AC6548B"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Régimen de Protección Social en Salud de la Ciudad de México</w:t>
            </w:r>
          </w:p>
        </w:tc>
        <w:tc>
          <w:tcPr>
            <w:tcW w:w="2551" w:type="dxa"/>
            <w:tcBorders>
              <w:top w:val="nil"/>
              <w:left w:val="nil"/>
              <w:bottom w:val="single" w:sz="4" w:space="0" w:color="auto"/>
              <w:right w:val="single" w:sz="4" w:space="0" w:color="auto"/>
            </w:tcBorders>
            <w:shd w:val="clear" w:color="auto" w:fill="auto"/>
            <w:vAlign w:val="center"/>
            <w:hideMark/>
          </w:tcPr>
          <w:p w14:paraId="25A657C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42.27</w:t>
            </w:r>
          </w:p>
        </w:tc>
      </w:tr>
      <w:tr w:rsidR="00507F70" w:rsidRPr="00B92499" w14:paraId="1C8C0EFF"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62F419A"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15</w:t>
            </w:r>
          </w:p>
        </w:tc>
        <w:tc>
          <w:tcPr>
            <w:tcW w:w="5812" w:type="dxa"/>
            <w:tcBorders>
              <w:top w:val="nil"/>
              <w:left w:val="nil"/>
              <w:bottom w:val="single" w:sz="4" w:space="0" w:color="auto"/>
              <w:right w:val="single" w:sz="4" w:space="0" w:color="auto"/>
            </w:tcBorders>
            <w:shd w:val="clear" w:color="000000" w:fill="FFFFFF"/>
            <w:noWrap/>
            <w:vAlign w:val="center"/>
            <w:hideMark/>
          </w:tcPr>
          <w:p w14:paraId="4DF476B4"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Planta Productora de Mezclas Asfálticas</w:t>
            </w:r>
          </w:p>
        </w:tc>
        <w:tc>
          <w:tcPr>
            <w:tcW w:w="2551" w:type="dxa"/>
            <w:tcBorders>
              <w:top w:val="nil"/>
              <w:left w:val="nil"/>
              <w:bottom w:val="single" w:sz="4" w:space="0" w:color="auto"/>
              <w:right w:val="single" w:sz="4" w:space="0" w:color="auto"/>
            </w:tcBorders>
            <w:shd w:val="clear" w:color="auto" w:fill="auto"/>
            <w:vAlign w:val="center"/>
            <w:hideMark/>
          </w:tcPr>
          <w:p w14:paraId="367AB55A"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33.93</w:t>
            </w:r>
          </w:p>
        </w:tc>
      </w:tr>
      <w:tr w:rsidR="00507F70" w:rsidRPr="00B92499" w14:paraId="662BBC7A"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428032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16</w:t>
            </w:r>
          </w:p>
        </w:tc>
        <w:tc>
          <w:tcPr>
            <w:tcW w:w="5812" w:type="dxa"/>
            <w:tcBorders>
              <w:top w:val="nil"/>
              <w:left w:val="nil"/>
              <w:bottom w:val="single" w:sz="4" w:space="0" w:color="auto"/>
              <w:right w:val="single" w:sz="4" w:space="0" w:color="auto"/>
            </w:tcBorders>
            <w:shd w:val="clear" w:color="000000" w:fill="FFFFFF"/>
            <w:noWrap/>
            <w:vAlign w:val="center"/>
            <w:hideMark/>
          </w:tcPr>
          <w:p w14:paraId="4E0F04E7"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Fondo Público de Atención al Ciclista y al Peatón</w:t>
            </w:r>
          </w:p>
        </w:tc>
        <w:tc>
          <w:tcPr>
            <w:tcW w:w="2551" w:type="dxa"/>
            <w:tcBorders>
              <w:top w:val="nil"/>
              <w:left w:val="nil"/>
              <w:bottom w:val="single" w:sz="4" w:space="0" w:color="auto"/>
              <w:right w:val="single" w:sz="4" w:space="0" w:color="auto"/>
            </w:tcBorders>
            <w:shd w:val="clear" w:color="auto" w:fill="auto"/>
            <w:vAlign w:val="center"/>
            <w:hideMark/>
          </w:tcPr>
          <w:p w14:paraId="313C022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7.71</w:t>
            </w:r>
          </w:p>
        </w:tc>
      </w:tr>
      <w:tr w:rsidR="00507F70" w:rsidRPr="00B92499" w14:paraId="5F901304"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36EA8F81"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Poder Ejecutivo - Demarcaciones Políticas</w:t>
            </w:r>
          </w:p>
        </w:tc>
      </w:tr>
      <w:tr w:rsidR="00507F70" w:rsidRPr="00B92499" w14:paraId="7FEA5A54"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536616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17</w:t>
            </w:r>
          </w:p>
        </w:tc>
        <w:tc>
          <w:tcPr>
            <w:tcW w:w="5812" w:type="dxa"/>
            <w:tcBorders>
              <w:top w:val="nil"/>
              <w:left w:val="nil"/>
              <w:bottom w:val="single" w:sz="4" w:space="0" w:color="auto"/>
              <w:right w:val="single" w:sz="4" w:space="0" w:color="auto"/>
            </w:tcBorders>
            <w:shd w:val="clear" w:color="000000" w:fill="FFFFFF"/>
            <w:noWrap/>
            <w:vAlign w:val="center"/>
            <w:hideMark/>
          </w:tcPr>
          <w:p w14:paraId="0243D4A3"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La Magdalena Contreras</w:t>
            </w:r>
          </w:p>
        </w:tc>
        <w:tc>
          <w:tcPr>
            <w:tcW w:w="2551" w:type="dxa"/>
            <w:tcBorders>
              <w:top w:val="nil"/>
              <w:left w:val="nil"/>
              <w:bottom w:val="single" w:sz="4" w:space="0" w:color="auto"/>
              <w:right w:val="single" w:sz="4" w:space="0" w:color="auto"/>
            </w:tcBorders>
            <w:shd w:val="clear" w:color="auto" w:fill="auto"/>
            <w:vAlign w:val="center"/>
            <w:hideMark/>
          </w:tcPr>
          <w:p w14:paraId="7F411C5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635E7E64"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C9835FC"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18</w:t>
            </w:r>
          </w:p>
        </w:tc>
        <w:tc>
          <w:tcPr>
            <w:tcW w:w="5812" w:type="dxa"/>
            <w:tcBorders>
              <w:top w:val="nil"/>
              <w:left w:val="nil"/>
              <w:bottom w:val="single" w:sz="4" w:space="0" w:color="auto"/>
              <w:right w:val="single" w:sz="4" w:space="0" w:color="auto"/>
            </w:tcBorders>
            <w:shd w:val="clear" w:color="000000" w:fill="FFFFFF"/>
            <w:noWrap/>
            <w:vAlign w:val="center"/>
            <w:hideMark/>
          </w:tcPr>
          <w:p w14:paraId="565BECEC"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Miguel Hidalgo</w:t>
            </w:r>
          </w:p>
        </w:tc>
        <w:tc>
          <w:tcPr>
            <w:tcW w:w="2551" w:type="dxa"/>
            <w:tcBorders>
              <w:top w:val="nil"/>
              <w:left w:val="nil"/>
              <w:bottom w:val="single" w:sz="4" w:space="0" w:color="auto"/>
              <w:right w:val="single" w:sz="4" w:space="0" w:color="auto"/>
            </w:tcBorders>
            <w:shd w:val="clear" w:color="auto" w:fill="auto"/>
            <w:vAlign w:val="center"/>
            <w:hideMark/>
          </w:tcPr>
          <w:p w14:paraId="1F9CF48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100</w:t>
            </w:r>
          </w:p>
        </w:tc>
      </w:tr>
      <w:tr w:rsidR="00507F70" w:rsidRPr="00B92499" w14:paraId="72A4CDE0"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B23B2D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19</w:t>
            </w:r>
          </w:p>
        </w:tc>
        <w:tc>
          <w:tcPr>
            <w:tcW w:w="5812" w:type="dxa"/>
            <w:tcBorders>
              <w:top w:val="nil"/>
              <w:left w:val="nil"/>
              <w:bottom w:val="single" w:sz="4" w:space="0" w:color="auto"/>
              <w:right w:val="single" w:sz="4" w:space="0" w:color="auto"/>
            </w:tcBorders>
            <w:shd w:val="clear" w:color="000000" w:fill="FFFFFF"/>
            <w:noWrap/>
            <w:vAlign w:val="center"/>
            <w:hideMark/>
          </w:tcPr>
          <w:p w14:paraId="6391E81B"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Venustiano Carranza</w:t>
            </w:r>
          </w:p>
        </w:tc>
        <w:tc>
          <w:tcPr>
            <w:tcW w:w="2551" w:type="dxa"/>
            <w:tcBorders>
              <w:top w:val="nil"/>
              <w:left w:val="nil"/>
              <w:bottom w:val="single" w:sz="4" w:space="0" w:color="auto"/>
              <w:right w:val="single" w:sz="4" w:space="0" w:color="auto"/>
            </w:tcBorders>
            <w:shd w:val="clear" w:color="auto" w:fill="auto"/>
            <w:vAlign w:val="center"/>
            <w:hideMark/>
          </w:tcPr>
          <w:p w14:paraId="6F823E8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99.47</w:t>
            </w:r>
          </w:p>
        </w:tc>
      </w:tr>
      <w:tr w:rsidR="00507F70" w:rsidRPr="00B92499" w14:paraId="72ADA7B9"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77B03A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20</w:t>
            </w:r>
          </w:p>
        </w:tc>
        <w:tc>
          <w:tcPr>
            <w:tcW w:w="5812" w:type="dxa"/>
            <w:tcBorders>
              <w:top w:val="nil"/>
              <w:left w:val="nil"/>
              <w:bottom w:val="single" w:sz="4" w:space="0" w:color="auto"/>
              <w:right w:val="single" w:sz="4" w:space="0" w:color="auto"/>
            </w:tcBorders>
            <w:shd w:val="clear" w:color="000000" w:fill="FFFFFF"/>
            <w:noWrap/>
            <w:vAlign w:val="center"/>
            <w:hideMark/>
          </w:tcPr>
          <w:p w14:paraId="05492D6A"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Tláhuac</w:t>
            </w:r>
          </w:p>
        </w:tc>
        <w:tc>
          <w:tcPr>
            <w:tcW w:w="2551" w:type="dxa"/>
            <w:tcBorders>
              <w:top w:val="nil"/>
              <w:left w:val="nil"/>
              <w:bottom w:val="single" w:sz="4" w:space="0" w:color="auto"/>
              <w:right w:val="single" w:sz="4" w:space="0" w:color="auto"/>
            </w:tcBorders>
            <w:shd w:val="clear" w:color="auto" w:fill="auto"/>
            <w:vAlign w:val="center"/>
            <w:hideMark/>
          </w:tcPr>
          <w:p w14:paraId="635FF10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99.12</w:t>
            </w:r>
          </w:p>
        </w:tc>
      </w:tr>
      <w:tr w:rsidR="00507F70" w:rsidRPr="00B92499" w14:paraId="5EBE52C6"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B0867C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21</w:t>
            </w:r>
          </w:p>
        </w:tc>
        <w:tc>
          <w:tcPr>
            <w:tcW w:w="5812" w:type="dxa"/>
            <w:tcBorders>
              <w:top w:val="nil"/>
              <w:left w:val="nil"/>
              <w:bottom w:val="single" w:sz="4" w:space="0" w:color="auto"/>
              <w:right w:val="single" w:sz="4" w:space="0" w:color="auto"/>
            </w:tcBorders>
            <w:shd w:val="clear" w:color="000000" w:fill="FFFFFF"/>
            <w:noWrap/>
            <w:vAlign w:val="center"/>
            <w:hideMark/>
          </w:tcPr>
          <w:p w14:paraId="5C823BFF"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Cuauhtémoc</w:t>
            </w:r>
          </w:p>
        </w:tc>
        <w:tc>
          <w:tcPr>
            <w:tcW w:w="2551" w:type="dxa"/>
            <w:tcBorders>
              <w:top w:val="nil"/>
              <w:left w:val="nil"/>
              <w:bottom w:val="single" w:sz="4" w:space="0" w:color="auto"/>
              <w:right w:val="single" w:sz="4" w:space="0" w:color="auto"/>
            </w:tcBorders>
            <w:shd w:val="clear" w:color="auto" w:fill="auto"/>
            <w:vAlign w:val="center"/>
            <w:hideMark/>
          </w:tcPr>
          <w:p w14:paraId="0B44856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97.20</w:t>
            </w:r>
          </w:p>
        </w:tc>
      </w:tr>
      <w:tr w:rsidR="00507F70" w:rsidRPr="00B92499" w14:paraId="0FDE3690"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467A630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22</w:t>
            </w:r>
          </w:p>
        </w:tc>
        <w:tc>
          <w:tcPr>
            <w:tcW w:w="5812" w:type="dxa"/>
            <w:tcBorders>
              <w:top w:val="nil"/>
              <w:left w:val="nil"/>
              <w:bottom w:val="single" w:sz="4" w:space="0" w:color="auto"/>
              <w:right w:val="single" w:sz="4" w:space="0" w:color="auto"/>
            </w:tcBorders>
            <w:shd w:val="clear" w:color="000000" w:fill="FFFFFF"/>
            <w:noWrap/>
            <w:vAlign w:val="center"/>
            <w:hideMark/>
          </w:tcPr>
          <w:p w14:paraId="6035C900"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Iztapalapa</w:t>
            </w:r>
          </w:p>
        </w:tc>
        <w:tc>
          <w:tcPr>
            <w:tcW w:w="2551" w:type="dxa"/>
            <w:tcBorders>
              <w:top w:val="nil"/>
              <w:left w:val="nil"/>
              <w:bottom w:val="single" w:sz="4" w:space="0" w:color="auto"/>
              <w:right w:val="single" w:sz="4" w:space="0" w:color="auto"/>
            </w:tcBorders>
            <w:shd w:val="clear" w:color="auto" w:fill="auto"/>
            <w:vAlign w:val="center"/>
            <w:hideMark/>
          </w:tcPr>
          <w:p w14:paraId="0A6CED7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91.71</w:t>
            </w:r>
          </w:p>
        </w:tc>
      </w:tr>
      <w:tr w:rsidR="00507F70" w:rsidRPr="00B92499" w14:paraId="2AD31CCE"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ADFE75C"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23</w:t>
            </w:r>
          </w:p>
        </w:tc>
        <w:tc>
          <w:tcPr>
            <w:tcW w:w="5812" w:type="dxa"/>
            <w:tcBorders>
              <w:top w:val="nil"/>
              <w:left w:val="nil"/>
              <w:bottom w:val="single" w:sz="4" w:space="0" w:color="auto"/>
              <w:right w:val="single" w:sz="4" w:space="0" w:color="auto"/>
            </w:tcBorders>
            <w:shd w:val="clear" w:color="000000" w:fill="FFFFFF"/>
            <w:noWrap/>
            <w:vAlign w:val="center"/>
            <w:hideMark/>
          </w:tcPr>
          <w:p w14:paraId="5ABBA556"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Gustavo A Madero</w:t>
            </w:r>
          </w:p>
        </w:tc>
        <w:tc>
          <w:tcPr>
            <w:tcW w:w="2551" w:type="dxa"/>
            <w:tcBorders>
              <w:top w:val="nil"/>
              <w:left w:val="nil"/>
              <w:bottom w:val="single" w:sz="4" w:space="0" w:color="auto"/>
              <w:right w:val="single" w:sz="4" w:space="0" w:color="auto"/>
            </w:tcBorders>
            <w:shd w:val="clear" w:color="auto" w:fill="auto"/>
            <w:vAlign w:val="center"/>
            <w:hideMark/>
          </w:tcPr>
          <w:p w14:paraId="6BC2CA2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91.29</w:t>
            </w:r>
          </w:p>
        </w:tc>
      </w:tr>
      <w:tr w:rsidR="00507F70" w:rsidRPr="00B92499" w14:paraId="50CCEA6D"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004D97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24</w:t>
            </w:r>
          </w:p>
        </w:tc>
        <w:tc>
          <w:tcPr>
            <w:tcW w:w="5812" w:type="dxa"/>
            <w:tcBorders>
              <w:top w:val="nil"/>
              <w:left w:val="nil"/>
              <w:bottom w:val="single" w:sz="4" w:space="0" w:color="auto"/>
              <w:right w:val="single" w:sz="4" w:space="0" w:color="auto"/>
            </w:tcBorders>
            <w:shd w:val="clear" w:color="000000" w:fill="FFFFFF"/>
            <w:noWrap/>
            <w:vAlign w:val="center"/>
            <w:hideMark/>
          </w:tcPr>
          <w:p w14:paraId="551665EB"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Azcapotzalco</w:t>
            </w:r>
          </w:p>
        </w:tc>
        <w:tc>
          <w:tcPr>
            <w:tcW w:w="2551" w:type="dxa"/>
            <w:tcBorders>
              <w:top w:val="nil"/>
              <w:left w:val="nil"/>
              <w:bottom w:val="single" w:sz="4" w:space="0" w:color="auto"/>
              <w:right w:val="single" w:sz="4" w:space="0" w:color="auto"/>
            </w:tcBorders>
            <w:shd w:val="clear" w:color="auto" w:fill="auto"/>
            <w:vAlign w:val="center"/>
            <w:hideMark/>
          </w:tcPr>
          <w:p w14:paraId="5750C61B"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90.62</w:t>
            </w:r>
          </w:p>
        </w:tc>
      </w:tr>
      <w:tr w:rsidR="00507F70" w:rsidRPr="00B92499" w14:paraId="3774A366"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604A31A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25</w:t>
            </w:r>
          </w:p>
        </w:tc>
        <w:tc>
          <w:tcPr>
            <w:tcW w:w="5812" w:type="dxa"/>
            <w:tcBorders>
              <w:top w:val="nil"/>
              <w:left w:val="nil"/>
              <w:bottom w:val="single" w:sz="4" w:space="0" w:color="auto"/>
              <w:right w:val="single" w:sz="4" w:space="0" w:color="auto"/>
            </w:tcBorders>
            <w:shd w:val="clear" w:color="000000" w:fill="FFFFFF"/>
            <w:noWrap/>
            <w:vAlign w:val="center"/>
            <w:hideMark/>
          </w:tcPr>
          <w:p w14:paraId="196006F9"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Milpa Alta</w:t>
            </w:r>
          </w:p>
        </w:tc>
        <w:tc>
          <w:tcPr>
            <w:tcW w:w="2551" w:type="dxa"/>
            <w:tcBorders>
              <w:top w:val="nil"/>
              <w:left w:val="nil"/>
              <w:bottom w:val="single" w:sz="4" w:space="0" w:color="auto"/>
              <w:right w:val="single" w:sz="4" w:space="0" w:color="auto"/>
            </w:tcBorders>
            <w:shd w:val="clear" w:color="auto" w:fill="auto"/>
            <w:vAlign w:val="center"/>
            <w:hideMark/>
          </w:tcPr>
          <w:p w14:paraId="13F84B7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89.05</w:t>
            </w:r>
          </w:p>
        </w:tc>
      </w:tr>
      <w:tr w:rsidR="00507F70" w:rsidRPr="00B92499" w14:paraId="2E76D25D"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0AD413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26</w:t>
            </w:r>
          </w:p>
        </w:tc>
        <w:tc>
          <w:tcPr>
            <w:tcW w:w="5812" w:type="dxa"/>
            <w:tcBorders>
              <w:top w:val="nil"/>
              <w:left w:val="nil"/>
              <w:bottom w:val="single" w:sz="4" w:space="0" w:color="auto"/>
              <w:right w:val="single" w:sz="4" w:space="0" w:color="auto"/>
            </w:tcBorders>
            <w:shd w:val="clear" w:color="000000" w:fill="FFFFFF"/>
            <w:noWrap/>
            <w:vAlign w:val="center"/>
            <w:hideMark/>
          </w:tcPr>
          <w:p w14:paraId="61ACC269"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Cuajimalpa de Morelos</w:t>
            </w:r>
          </w:p>
        </w:tc>
        <w:tc>
          <w:tcPr>
            <w:tcW w:w="2551" w:type="dxa"/>
            <w:tcBorders>
              <w:top w:val="nil"/>
              <w:left w:val="nil"/>
              <w:bottom w:val="single" w:sz="4" w:space="0" w:color="auto"/>
              <w:right w:val="single" w:sz="4" w:space="0" w:color="auto"/>
            </w:tcBorders>
            <w:shd w:val="clear" w:color="auto" w:fill="auto"/>
            <w:vAlign w:val="center"/>
            <w:hideMark/>
          </w:tcPr>
          <w:p w14:paraId="3BAB1CA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86.54</w:t>
            </w:r>
          </w:p>
        </w:tc>
      </w:tr>
      <w:tr w:rsidR="00507F70" w:rsidRPr="00B92499" w14:paraId="5F40FC7D"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F710D42"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27</w:t>
            </w:r>
          </w:p>
        </w:tc>
        <w:tc>
          <w:tcPr>
            <w:tcW w:w="5812" w:type="dxa"/>
            <w:tcBorders>
              <w:top w:val="nil"/>
              <w:left w:val="nil"/>
              <w:bottom w:val="single" w:sz="4" w:space="0" w:color="auto"/>
              <w:right w:val="single" w:sz="4" w:space="0" w:color="auto"/>
            </w:tcBorders>
            <w:shd w:val="clear" w:color="000000" w:fill="FFFFFF"/>
            <w:noWrap/>
            <w:vAlign w:val="center"/>
            <w:hideMark/>
          </w:tcPr>
          <w:p w14:paraId="4F165DCA"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Tlalpan</w:t>
            </w:r>
          </w:p>
        </w:tc>
        <w:tc>
          <w:tcPr>
            <w:tcW w:w="2551" w:type="dxa"/>
            <w:tcBorders>
              <w:top w:val="nil"/>
              <w:left w:val="nil"/>
              <w:bottom w:val="single" w:sz="4" w:space="0" w:color="auto"/>
              <w:right w:val="single" w:sz="4" w:space="0" w:color="auto"/>
            </w:tcBorders>
            <w:shd w:val="clear" w:color="auto" w:fill="auto"/>
            <w:vAlign w:val="center"/>
            <w:hideMark/>
          </w:tcPr>
          <w:p w14:paraId="2818ECCB"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85.06</w:t>
            </w:r>
          </w:p>
        </w:tc>
      </w:tr>
      <w:tr w:rsidR="00507F70" w:rsidRPr="00B92499" w14:paraId="5710BF11"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B2331F5"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28</w:t>
            </w:r>
          </w:p>
        </w:tc>
        <w:tc>
          <w:tcPr>
            <w:tcW w:w="5812" w:type="dxa"/>
            <w:tcBorders>
              <w:top w:val="nil"/>
              <w:left w:val="nil"/>
              <w:bottom w:val="single" w:sz="4" w:space="0" w:color="auto"/>
              <w:right w:val="single" w:sz="4" w:space="0" w:color="auto"/>
            </w:tcBorders>
            <w:shd w:val="clear" w:color="000000" w:fill="FFFFFF"/>
            <w:noWrap/>
            <w:vAlign w:val="center"/>
            <w:hideMark/>
          </w:tcPr>
          <w:p w14:paraId="70406914"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Iztacalco</w:t>
            </w:r>
          </w:p>
        </w:tc>
        <w:tc>
          <w:tcPr>
            <w:tcW w:w="2551" w:type="dxa"/>
            <w:tcBorders>
              <w:top w:val="nil"/>
              <w:left w:val="nil"/>
              <w:bottom w:val="single" w:sz="4" w:space="0" w:color="auto"/>
              <w:right w:val="single" w:sz="4" w:space="0" w:color="auto"/>
            </w:tcBorders>
            <w:shd w:val="clear" w:color="auto" w:fill="auto"/>
            <w:vAlign w:val="center"/>
            <w:hideMark/>
          </w:tcPr>
          <w:p w14:paraId="720C25BD"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84.06</w:t>
            </w:r>
          </w:p>
        </w:tc>
      </w:tr>
      <w:tr w:rsidR="00507F70" w:rsidRPr="00B92499" w14:paraId="710899C8"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387ECF4F"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29</w:t>
            </w:r>
          </w:p>
        </w:tc>
        <w:tc>
          <w:tcPr>
            <w:tcW w:w="5812" w:type="dxa"/>
            <w:tcBorders>
              <w:top w:val="nil"/>
              <w:left w:val="nil"/>
              <w:bottom w:val="single" w:sz="4" w:space="0" w:color="auto"/>
              <w:right w:val="single" w:sz="4" w:space="0" w:color="auto"/>
            </w:tcBorders>
            <w:shd w:val="clear" w:color="000000" w:fill="FFFFFF"/>
            <w:noWrap/>
            <w:vAlign w:val="center"/>
            <w:hideMark/>
          </w:tcPr>
          <w:p w14:paraId="73E3E542"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Álvaro Obregón</w:t>
            </w:r>
          </w:p>
        </w:tc>
        <w:tc>
          <w:tcPr>
            <w:tcW w:w="2551" w:type="dxa"/>
            <w:tcBorders>
              <w:top w:val="nil"/>
              <w:left w:val="nil"/>
              <w:bottom w:val="single" w:sz="4" w:space="0" w:color="auto"/>
              <w:right w:val="single" w:sz="4" w:space="0" w:color="auto"/>
            </w:tcBorders>
            <w:shd w:val="clear" w:color="auto" w:fill="auto"/>
            <w:vAlign w:val="center"/>
            <w:hideMark/>
          </w:tcPr>
          <w:p w14:paraId="08DF13D5"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83.96</w:t>
            </w:r>
          </w:p>
        </w:tc>
      </w:tr>
      <w:tr w:rsidR="00507F70" w:rsidRPr="00B92499" w14:paraId="6A275B83"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720091D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30</w:t>
            </w:r>
          </w:p>
        </w:tc>
        <w:tc>
          <w:tcPr>
            <w:tcW w:w="5812" w:type="dxa"/>
            <w:tcBorders>
              <w:top w:val="nil"/>
              <w:left w:val="nil"/>
              <w:bottom w:val="single" w:sz="4" w:space="0" w:color="auto"/>
              <w:right w:val="single" w:sz="4" w:space="0" w:color="auto"/>
            </w:tcBorders>
            <w:shd w:val="clear" w:color="000000" w:fill="FFFFFF"/>
            <w:noWrap/>
            <w:vAlign w:val="center"/>
            <w:hideMark/>
          </w:tcPr>
          <w:p w14:paraId="1AE75BBE"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Benito Juárez</w:t>
            </w:r>
          </w:p>
        </w:tc>
        <w:tc>
          <w:tcPr>
            <w:tcW w:w="2551" w:type="dxa"/>
            <w:tcBorders>
              <w:top w:val="nil"/>
              <w:left w:val="nil"/>
              <w:bottom w:val="single" w:sz="4" w:space="0" w:color="auto"/>
              <w:right w:val="single" w:sz="4" w:space="0" w:color="auto"/>
            </w:tcBorders>
            <w:shd w:val="clear" w:color="auto" w:fill="auto"/>
            <w:vAlign w:val="center"/>
            <w:hideMark/>
          </w:tcPr>
          <w:p w14:paraId="38B746E4"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76.88</w:t>
            </w:r>
          </w:p>
        </w:tc>
      </w:tr>
      <w:tr w:rsidR="00507F70" w:rsidRPr="00B92499" w14:paraId="5C67DB49"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2EEA3C2"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31</w:t>
            </w:r>
          </w:p>
        </w:tc>
        <w:tc>
          <w:tcPr>
            <w:tcW w:w="5812" w:type="dxa"/>
            <w:tcBorders>
              <w:top w:val="nil"/>
              <w:left w:val="nil"/>
              <w:bottom w:val="single" w:sz="4" w:space="0" w:color="auto"/>
              <w:right w:val="single" w:sz="4" w:space="0" w:color="auto"/>
            </w:tcBorders>
            <w:shd w:val="clear" w:color="000000" w:fill="FFFFFF"/>
            <w:noWrap/>
            <w:vAlign w:val="center"/>
            <w:hideMark/>
          </w:tcPr>
          <w:p w14:paraId="180D03EC"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Coyoacán</w:t>
            </w:r>
          </w:p>
        </w:tc>
        <w:tc>
          <w:tcPr>
            <w:tcW w:w="2551" w:type="dxa"/>
            <w:tcBorders>
              <w:top w:val="nil"/>
              <w:left w:val="nil"/>
              <w:bottom w:val="single" w:sz="4" w:space="0" w:color="auto"/>
              <w:right w:val="single" w:sz="4" w:space="0" w:color="auto"/>
            </w:tcBorders>
            <w:shd w:val="clear" w:color="auto" w:fill="auto"/>
            <w:vAlign w:val="center"/>
            <w:hideMark/>
          </w:tcPr>
          <w:p w14:paraId="465C424A"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68.91</w:t>
            </w:r>
          </w:p>
        </w:tc>
      </w:tr>
      <w:tr w:rsidR="00507F70" w:rsidRPr="00B92499" w14:paraId="16CE10B9"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754678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lastRenderedPageBreak/>
              <w:t>32</w:t>
            </w:r>
          </w:p>
        </w:tc>
        <w:tc>
          <w:tcPr>
            <w:tcW w:w="5812" w:type="dxa"/>
            <w:tcBorders>
              <w:top w:val="nil"/>
              <w:left w:val="nil"/>
              <w:bottom w:val="single" w:sz="4" w:space="0" w:color="auto"/>
              <w:right w:val="single" w:sz="4" w:space="0" w:color="auto"/>
            </w:tcBorders>
            <w:shd w:val="clear" w:color="000000" w:fill="FFFFFF"/>
            <w:noWrap/>
            <w:vAlign w:val="center"/>
            <w:hideMark/>
          </w:tcPr>
          <w:p w14:paraId="1C1437A7"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Alcaldía Xochimilco</w:t>
            </w:r>
          </w:p>
        </w:tc>
        <w:tc>
          <w:tcPr>
            <w:tcW w:w="2551" w:type="dxa"/>
            <w:tcBorders>
              <w:top w:val="nil"/>
              <w:left w:val="nil"/>
              <w:bottom w:val="single" w:sz="4" w:space="0" w:color="auto"/>
              <w:right w:val="single" w:sz="4" w:space="0" w:color="auto"/>
            </w:tcBorders>
            <w:shd w:val="clear" w:color="auto" w:fill="auto"/>
            <w:vAlign w:val="center"/>
            <w:hideMark/>
          </w:tcPr>
          <w:p w14:paraId="4EA7CF7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62.39</w:t>
            </w:r>
          </w:p>
        </w:tc>
      </w:tr>
      <w:tr w:rsidR="00507F70" w:rsidRPr="00B92499" w14:paraId="7419A47E"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7A64478B"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Órganos Autónomos</w:t>
            </w:r>
          </w:p>
        </w:tc>
      </w:tr>
      <w:tr w:rsidR="00507F70" w:rsidRPr="00B92499" w14:paraId="6A29468B"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6C85F80"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33</w:t>
            </w:r>
          </w:p>
        </w:tc>
        <w:tc>
          <w:tcPr>
            <w:tcW w:w="5812" w:type="dxa"/>
            <w:tcBorders>
              <w:top w:val="nil"/>
              <w:left w:val="nil"/>
              <w:bottom w:val="single" w:sz="4" w:space="0" w:color="auto"/>
              <w:right w:val="single" w:sz="4" w:space="0" w:color="auto"/>
            </w:tcBorders>
            <w:shd w:val="clear" w:color="000000" w:fill="FFFFFF"/>
            <w:noWrap/>
            <w:vAlign w:val="center"/>
            <w:hideMark/>
          </w:tcPr>
          <w:p w14:paraId="2004705E"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Instituto de Transparencia, Acceso a la Información Pública, Protección de Datos Personales y Rendición de Cuentas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655788D5"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96.24</w:t>
            </w:r>
          </w:p>
        </w:tc>
      </w:tr>
      <w:tr w:rsidR="00507F70" w:rsidRPr="00B92499" w14:paraId="044B34E4"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4C84234E"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Poder Legislativo</w:t>
            </w:r>
          </w:p>
        </w:tc>
      </w:tr>
      <w:tr w:rsidR="00507F70" w:rsidRPr="00B92499" w14:paraId="1E13A6EC"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438C23A"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34</w:t>
            </w:r>
          </w:p>
        </w:tc>
        <w:tc>
          <w:tcPr>
            <w:tcW w:w="5812" w:type="dxa"/>
            <w:tcBorders>
              <w:top w:val="nil"/>
              <w:left w:val="nil"/>
              <w:bottom w:val="single" w:sz="4" w:space="0" w:color="auto"/>
              <w:right w:val="single" w:sz="4" w:space="0" w:color="auto"/>
            </w:tcBorders>
            <w:shd w:val="clear" w:color="000000" w:fill="FFFFFF"/>
            <w:noWrap/>
            <w:vAlign w:val="center"/>
            <w:hideMark/>
          </w:tcPr>
          <w:p w14:paraId="20801C24"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Congreso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6DC44839"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95.03</w:t>
            </w:r>
          </w:p>
        </w:tc>
      </w:tr>
      <w:tr w:rsidR="00507F70" w:rsidRPr="00B92499" w14:paraId="1B39BC2F" w14:textId="77777777" w:rsidTr="00CF534F">
        <w:trPr>
          <w:trHeight w:val="300"/>
        </w:trPr>
        <w:tc>
          <w:tcPr>
            <w:tcW w:w="9634" w:type="dxa"/>
            <w:gridSpan w:val="3"/>
            <w:tcBorders>
              <w:top w:val="single" w:sz="4" w:space="0" w:color="auto"/>
              <w:left w:val="single" w:sz="4" w:space="0" w:color="auto"/>
              <w:bottom w:val="single" w:sz="4" w:space="0" w:color="auto"/>
              <w:right w:val="single" w:sz="4" w:space="0" w:color="auto"/>
            </w:tcBorders>
            <w:shd w:val="clear" w:color="000000" w:fill="33CCCC"/>
            <w:noWrap/>
            <w:vAlign w:val="center"/>
            <w:hideMark/>
          </w:tcPr>
          <w:p w14:paraId="72F77B15" w14:textId="77777777" w:rsidR="00507F70" w:rsidRPr="00B92499" w:rsidRDefault="00507F70" w:rsidP="00CF534F">
            <w:pPr>
              <w:jc w:val="center"/>
              <w:rPr>
                <w:rFonts w:ascii="Arial" w:hAnsi="Arial" w:cs="Arial"/>
                <w:b/>
                <w:bCs/>
                <w:color w:val="000000"/>
                <w:sz w:val="16"/>
                <w:szCs w:val="16"/>
              </w:rPr>
            </w:pPr>
            <w:r w:rsidRPr="00B92499">
              <w:rPr>
                <w:rFonts w:ascii="Arial" w:hAnsi="Arial" w:cs="Arial"/>
                <w:b/>
                <w:bCs/>
                <w:color w:val="000000"/>
                <w:sz w:val="16"/>
                <w:szCs w:val="16"/>
              </w:rPr>
              <w:t>Sindicatos</w:t>
            </w:r>
          </w:p>
        </w:tc>
      </w:tr>
      <w:tr w:rsidR="00507F70" w:rsidRPr="00B92499" w14:paraId="1E309B9A" w14:textId="77777777" w:rsidTr="00CF534F">
        <w:trPr>
          <w:trHeight w:val="300"/>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0F50BC1"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35</w:t>
            </w:r>
          </w:p>
        </w:tc>
        <w:tc>
          <w:tcPr>
            <w:tcW w:w="5812" w:type="dxa"/>
            <w:tcBorders>
              <w:top w:val="nil"/>
              <w:left w:val="nil"/>
              <w:bottom w:val="single" w:sz="4" w:space="0" w:color="auto"/>
              <w:right w:val="single" w:sz="4" w:space="0" w:color="auto"/>
            </w:tcBorders>
            <w:shd w:val="clear" w:color="000000" w:fill="FFFFFF"/>
            <w:noWrap/>
            <w:vAlign w:val="center"/>
            <w:hideMark/>
          </w:tcPr>
          <w:p w14:paraId="23D092D4" w14:textId="77777777" w:rsidR="00507F70" w:rsidRPr="00B92499" w:rsidRDefault="00507F70" w:rsidP="00CF534F">
            <w:pPr>
              <w:rPr>
                <w:rFonts w:ascii="Arial" w:hAnsi="Arial" w:cs="Arial"/>
                <w:color w:val="000000"/>
                <w:sz w:val="16"/>
                <w:szCs w:val="16"/>
              </w:rPr>
            </w:pPr>
            <w:r w:rsidRPr="00B92499">
              <w:rPr>
                <w:rFonts w:ascii="Arial" w:hAnsi="Arial" w:cs="Arial"/>
                <w:color w:val="000000"/>
                <w:sz w:val="16"/>
                <w:szCs w:val="16"/>
              </w:rPr>
              <w:t>Sindicato de Trabajadores del Tribunal de Justicia Administrativa de la Ciudad de México</w:t>
            </w:r>
          </w:p>
        </w:tc>
        <w:tc>
          <w:tcPr>
            <w:tcW w:w="2551" w:type="dxa"/>
            <w:tcBorders>
              <w:top w:val="nil"/>
              <w:left w:val="nil"/>
              <w:bottom w:val="single" w:sz="4" w:space="0" w:color="auto"/>
              <w:right w:val="single" w:sz="4" w:space="0" w:color="auto"/>
            </w:tcBorders>
            <w:shd w:val="clear" w:color="000000" w:fill="FFFFFF"/>
            <w:vAlign w:val="center"/>
            <w:hideMark/>
          </w:tcPr>
          <w:p w14:paraId="139D8CD6" w14:textId="77777777" w:rsidR="00507F70" w:rsidRPr="00B92499" w:rsidRDefault="00507F70" w:rsidP="00CF534F">
            <w:pPr>
              <w:jc w:val="center"/>
              <w:rPr>
                <w:rFonts w:ascii="Arial" w:hAnsi="Arial" w:cs="Arial"/>
                <w:color w:val="000000"/>
                <w:sz w:val="16"/>
                <w:szCs w:val="16"/>
              </w:rPr>
            </w:pPr>
            <w:r w:rsidRPr="00B92499">
              <w:rPr>
                <w:rFonts w:ascii="Arial" w:hAnsi="Arial" w:cs="Arial"/>
                <w:color w:val="000000"/>
                <w:sz w:val="16"/>
                <w:szCs w:val="16"/>
              </w:rPr>
              <w:t>87.20</w:t>
            </w:r>
          </w:p>
        </w:tc>
      </w:tr>
    </w:tbl>
    <w:p w14:paraId="49CE1CB7" w14:textId="77777777" w:rsidR="00507F70" w:rsidRPr="00B92499" w:rsidRDefault="00507F70" w:rsidP="00507F70">
      <w:pPr>
        <w:jc w:val="both"/>
      </w:pPr>
    </w:p>
    <w:p w14:paraId="0330740C" w14:textId="77777777" w:rsidR="00507F70" w:rsidRPr="00B92499" w:rsidRDefault="00507F70" w:rsidP="00507F70">
      <w:pPr>
        <w:jc w:val="both"/>
      </w:pPr>
    </w:p>
    <w:p w14:paraId="18267A21" w14:textId="77777777" w:rsidR="00507F70" w:rsidRPr="00B92499" w:rsidRDefault="00507F70" w:rsidP="00C9398D">
      <w:pPr>
        <w:jc w:val="both"/>
      </w:pPr>
    </w:p>
    <w:p w14:paraId="7809534B" w14:textId="77777777" w:rsidR="00507F70" w:rsidRPr="00B92499" w:rsidRDefault="00507F70">
      <w:pPr>
        <w:spacing w:after="160" w:line="259" w:lineRule="auto"/>
        <w:rPr>
          <w:rFonts w:ascii="Arial" w:eastAsiaTheme="majorEastAsia" w:hAnsi="Arial" w:cs="Arial"/>
          <w:b/>
          <w:lang w:val="es-ES_tradnl" w:eastAsia="en-US"/>
        </w:rPr>
      </w:pPr>
      <w:r w:rsidRPr="00B92499">
        <w:rPr>
          <w:rFonts w:ascii="Arial" w:hAnsi="Arial" w:cs="Arial"/>
          <w:b/>
        </w:rPr>
        <w:br w:type="page"/>
      </w:r>
    </w:p>
    <w:p w14:paraId="6372337E" w14:textId="1CE0D2F2" w:rsidR="00940CBA" w:rsidRPr="00B92499" w:rsidRDefault="00AF69FA" w:rsidP="009F64B5">
      <w:pPr>
        <w:pStyle w:val="Ttulo1"/>
        <w:numPr>
          <w:ilvl w:val="0"/>
          <w:numId w:val="5"/>
        </w:numPr>
        <w:contextualSpacing/>
        <w:rPr>
          <w:rFonts w:ascii="Arial" w:hAnsi="Arial" w:cs="Arial"/>
          <w:b/>
          <w:color w:val="auto"/>
          <w:sz w:val="24"/>
          <w:szCs w:val="24"/>
        </w:rPr>
      </w:pPr>
      <w:bookmarkStart w:id="9" w:name="_Toc23252967"/>
      <w:r w:rsidRPr="00B92499">
        <w:rPr>
          <w:rFonts w:ascii="Arial" w:hAnsi="Arial" w:cs="Arial"/>
          <w:b/>
          <w:color w:val="auto"/>
          <w:sz w:val="24"/>
          <w:szCs w:val="24"/>
        </w:rPr>
        <w:lastRenderedPageBreak/>
        <w:t>PODER EJECUTIVO</w:t>
      </w:r>
      <w:bookmarkEnd w:id="9"/>
    </w:p>
    <w:p w14:paraId="2F2E5A4B" w14:textId="77777777" w:rsidR="00940CBA" w:rsidRPr="00B92499" w:rsidRDefault="00940CBA" w:rsidP="002E7D47">
      <w:pPr>
        <w:contextualSpacing/>
        <w:rPr>
          <w:rFonts w:ascii="Arial" w:hAnsi="Arial" w:cs="Arial"/>
          <w:b/>
        </w:rPr>
      </w:pPr>
    </w:p>
    <w:p w14:paraId="204AA9D8" w14:textId="77777777" w:rsidR="00940CBA" w:rsidRPr="00B92499" w:rsidRDefault="00AF69FA" w:rsidP="009F64B5">
      <w:pPr>
        <w:pStyle w:val="Ttulo2"/>
        <w:numPr>
          <w:ilvl w:val="1"/>
          <w:numId w:val="5"/>
        </w:numPr>
        <w:contextualSpacing/>
        <w:rPr>
          <w:rFonts w:ascii="Arial" w:hAnsi="Arial" w:cs="Arial"/>
          <w:b/>
          <w:color w:val="auto"/>
          <w:sz w:val="24"/>
          <w:szCs w:val="24"/>
        </w:rPr>
      </w:pPr>
      <w:bookmarkStart w:id="10" w:name="_Toc23252968"/>
      <w:r w:rsidRPr="00B92499">
        <w:rPr>
          <w:rFonts w:ascii="Arial" w:hAnsi="Arial" w:cs="Arial"/>
          <w:b/>
          <w:color w:val="auto"/>
          <w:sz w:val="24"/>
          <w:szCs w:val="24"/>
        </w:rPr>
        <w:t>ADMINISTRACIÓN CENTRAL</w:t>
      </w:r>
      <w:bookmarkEnd w:id="10"/>
    </w:p>
    <w:p w14:paraId="6B627897" w14:textId="6AC18287" w:rsidR="002E7D47"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El ámbito del Poder Ejecutivo</w:t>
      </w:r>
      <w:r w:rsidR="00A972A3" w:rsidRPr="00B92499">
        <w:rPr>
          <w:rFonts w:ascii="Arial" w:hAnsi="Arial" w:cs="Arial"/>
        </w:rPr>
        <w:t>,</w:t>
      </w:r>
      <w:r w:rsidRPr="00B92499">
        <w:rPr>
          <w:rFonts w:ascii="Arial" w:hAnsi="Arial" w:cs="Arial"/>
        </w:rPr>
        <w:t xml:space="preserve"> por lo que corresponde a la Administración Central de la Ciudad de México</w:t>
      </w:r>
      <w:r w:rsidR="00A972A3" w:rsidRPr="00B92499">
        <w:rPr>
          <w:rFonts w:ascii="Arial" w:hAnsi="Arial" w:cs="Arial"/>
        </w:rPr>
        <w:t>, está conformado por</w:t>
      </w:r>
      <w:r w:rsidR="00C576D2" w:rsidRPr="00B92499">
        <w:rPr>
          <w:rFonts w:ascii="Arial" w:hAnsi="Arial" w:cs="Arial"/>
        </w:rPr>
        <w:t xml:space="preserve"> 22</w:t>
      </w:r>
      <w:r w:rsidR="00A972A3" w:rsidRPr="00B92499">
        <w:rPr>
          <w:rFonts w:ascii="Arial" w:hAnsi="Arial" w:cs="Arial"/>
        </w:rPr>
        <w:t xml:space="preserve"> </w:t>
      </w:r>
      <w:r w:rsidR="008710F6" w:rsidRPr="00B92499">
        <w:rPr>
          <w:rFonts w:ascii="Arial" w:hAnsi="Arial" w:cs="Arial"/>
        </w:rPr>
        <w:t>sujeto</w:t>
      </w:r>
      <w:r w:rsidR="00A972A3" w:rsidRPr="00B92499">
        <w:rPr>
          <w:rFonts w:ascii="Arial" w:hAnsi="Arial" w:cs="Arial"/>
        </w:rPr>
        <w:t>s obligados</w:t>
      </w:r>
      <w:r w:rsidRPr="00B92499">
        <w:rPr>
          <w:rFonts w:ascii="Arial" w:hAnsi="Arial" w:cs="Arial"/>
        </w:rPr>
        <w:t xml:space="preserve"> de conformidad con el Padrón de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supeditados al cumplimiento de la Ley de Transparencia, Acceso a la Información Pública y Rendición de Cuentas de la Ciudad de México</w:t>
      </w:r>
      <w:r w:rsidRPr="00B92499" w:rsidDel="005B5D1B">
        <w:rPr>
          <w:rFonts w:ascii="Arial" w:hAnsi="Arial" w:cs="Arial"/>
        </w:rPr>
        <w:t xml:space="preserve"> </w:t>
      </w:r>
      <w:r w:rsidRPr="00B92499">
        <w:rPr>
          <w:rFonts w:ascii="Arial" w:hAnsi="Arial" w:cs="Arial"/>
        </w:rPr>
        <w:t xml:space="preserve">y de la Ley de Protección de Datos Personales en Posesión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Ciudad de México (Padrón). </w:t>
      </w:r>
    </w:p>
    <w:p w14:paraId="3BB930BE" w14:textId="77777777" w:rsidR="002E7D47" w:rsidRPr="00B92499" w:rsidRDefault="002E7D47" w:rsidP="002E7D47">
      <w:pPr>
        <w:spacing w:before="100" w:beforeAutospacing="1" w:after="100" w:afterAutospacing="1" w:line="360" w:lineRule="auto"/>
        <w:contextualSpacing/>
        <w:jc w:val="both"/>
        <w:rPr>
          <w:rFonts w:ascii="Arial" w:hAnsi="Arial" w:cs="Arial"/>
        </w:rPr>
      </w:pPr>
    </w:p>
    <w:p w14:paraId="4A8FB47A" w14:textId="6907D843"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w:t>
      </w:r>
      <w:r w:rsidR="00623A69" w:rsidRPr="00B92499">
        <w:rPr>
          <w:rFonts w:ascii="Arial" w:hAnsi="Arial" w:cs="Arial"/>
        </w:rPr>
        <w:t>ICOT-PT</w:t>
      </w:r>
      <w:r w:rsidRPr="00B92499">
        <w:rPr>
          <w:rFonts w:ascii="Arial" w:hAnsi="Arial" w:cs="Arial"/>
        </w:rPr>
        <w:t xml:space="preserve">),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208A6AAC" w14:textId="77777777" w:rsidR="001568FE" w:rsidRPr="00B92499" w:rsidRDefault="001568FE" w:rsidP="002E7D47">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A972A3" w:rsidRPr="00B92499" w14:paraId="20B76DBF" w14:textId="77777777" w:rsidTr="00BF7A5D">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4603F414"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A972A3" w:rsidRPr="00B92499" w14:paraId="64B2352A" w14:textId="77777777" w:rsidTr="00BF7A5D">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7FA00FE"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0D04EA7E" w14:textId="64EFF8E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0A48B90"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%Inf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38AD81A"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 Nota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091072E"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6CD5037"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D8B4C62"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3FE35DA"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A64B58D"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2495B565"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E5CAEFF" w14:textId="77777777" w:rsidR="00A972A3" w:rsidRPr="00B92499" w:rsidRDefault="00A972A3" w:rsidP="00BF7A5D">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116D85" w:rsidRPr="00B92499" w14:paraId="7F5392A2"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7F7C2AEB" w14:textId="564896EC"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59878782" w14:textId="65024943"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Administración y Finanzas</w:t>
            </w:r>
          </w:p>
        </w:tc>
        <w:tc>
          <w:tcPr>
            <w:tcW w:w="850" w:type="dxa"/>
            <w:tcBorders>
              <w:top w:val="nil"/>
              <w:left w:val="nil"/>
              <w:bottom w:val="single" w:sz="4" w:space="0" w:color="auto"/>
              <w:right w:val="single" w:sz="4" w:space="0" w:color="auto"/>
            </w:tcBorders>
            <w:shd w:val="clear" w:color="000000" w:fill="BDD7EE"/>
            <w:noWrap/>
            <w:vAlign w:val="center"/>
            <w:hideMark/>
          </w:tcPr>
          <w:p w14:paraId="3F667618" w14:textId="5F4C48B0"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58CD57D3" w14:textId="239DFBEF"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58AF2313" w14:textId="6D9857C6"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51E17F8B" w14:textId="3E0567A3"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52E6EA10" w14:textId="5462365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7FAE373C" w14:textId="130338D8" w:rsidR="00116D85" w:rsidRPr="00B92499" w:rsidRDefault="00116D85" w:rsidP="00EF2D1E">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5989E751" w14:textId="7065B067"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1A7BE545" w14:textId="205D63E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1E174F8D" w14:textId="082D579B"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r>
      <w:tr w:rsidR="00116D85" w:rsidRPr="00B92499" w14:paraId="4598D32F"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442D5CD1" w14:textId="083DC4F7"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2</w:t>
            </w:r>
          </w:p>
        </w:tc>
        <w:tc>
          <w:tcPr>
            <w:tcW w:w="1304" w:type="dxa"/>
            <w:tcBorders>
              <w:top w:val="nil"/>
              <w:left w:val="nil"/>
              <w:bottom w:val="single" w:sz="4" w:space="0" w:color="auto"/>
              <w:right w:val="single" w:sz="4" w:space="0" w:color="auto"/>
            </w:tcBorders>
            <w:shd w:val="clear" w:color="000000" w:fill="FFFFFF"/>
            <w:vAlign w:val="center"/>
            <w:hideMark/>
          </w:tcPr>
          <w:p w14:paraId="1B4EA375" w14:textId="2C221AAF"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 xml:space="preserve">Secretaría de la Contraloría General </w:t>
            </w:r>
          </w:p>
        </w:tc>
        <w:tc>
          <w:tcPr>
            <w:tcW w:w="850" w:type="dxa"/>
            <w:tcBorders>
              <w:top w:val="nil"/>
              <w:left w:val="nil"/>
              <w:bottom w:val="single" w:sz="4" w:space="0" w:color="auto"/>
              <w:right w:val="single" w:sz="4" w:space="0" w:color="auto"/>
            </w:tcBorders>
            <w:shd w:val="clear" w:color="000000" w:fill="BDD7EE"/>
            <w:noWrap/>
            <w:vAlign w:val="center"/>
            <w:hideMark/>
          </w:tcPr>
          <w:p w14:paraId="32E177B4" w14:textId="0C8D8239"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0EB9F0B6" w14:textId="2F9A43E8"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0E543210" w14:textId="086C444A"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4F114F47" w14:textId="41D5B173"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661B2ADC" w14:textId="58E83DD6"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3B48327B" w14:textId="0A73AEBD" w:rsidR="00116D85" w:rsidRPr="00B92499" w:rsidRDefault="00116D85" w:rsidP="00EF2D1E">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5BC57C7D" w14:textId="4DEB84A3"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42459F27" w14:textId="2B571209"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03F7698C" w14:textId="4E869645"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r>
      <w:tr w:rsidR="00116D85" w:rsidRPr="00B92499" w14:paraId="715486FE"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12EA9C2D" w14:textId="52B6BA7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3</w:t>
            </w:r>
          </w:p>
        </w:tc>
        <w:tc>
          <w:tcPr>
            <w:tcW w:w="1304" w:type="dxa"/>
            <w:tcBorders>
              <w:top w:val="nil"/>
              <w:left w:val="nil"/>
              <w:bottom w:val="single" w:sz="4" w:space="0" w:color="auto"/>
              <w:right w:val="single" w:sz="4" w:space="0" w:color="auto"/>
            </w:tcBorders>
            <w:shd w:val="clear" w:color="000000" w:fill="FFFFFF"/>
            <w:vAlign w:val="center"/>
            <w:hideMark/>
          </w:tcPr>
          <w:p w14:paraId="4D76259E" w14:textId="78C69BB4"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Seguridad Ciudadana</w:t>
            </w:r>
          </w:p>
        </w:tc>
        <w:tc>
          <w:tcPr>
            <w:tcW w:w="850" w:type="dxa"/>
            <w:tcBorders>
              <w:top w:val="nil"/>
              <w:left w:val="nil"/>
              <w:bottom w:val="single" w:sz="4" w:space="0" w:color="auto"/>
              <w:right w:val="single" w:sz="4" w:space="0" w:color="auto"/>
            </w:tcBorders>
            <w:shd w:val="clear" w:color="000000" w:fill="BDD7EE"/>
            <w:noWrap/>
            <w:vAlign w:val="center"/>
            <w:hideMark/>
          </w:tcPr>
          <w:p w14:paraId="488DEBE0" w14:textId="2BC988F8"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079EC32D" w14:textId="1CEF62D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70B23DCE" w14:textId="3C847A03"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00FA0B57" w14:textId="4149A898"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1391B3B1" w14:textId="3005A919"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57A751C9" w14:textId="30BA8A5B"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48F9721C" w14:textId="7F5A7FF3"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D9D9D9"/>
            <w:noWrap/>
            <w:vAlign w:val="center"/>
            <w:hideMark/>
          </w:tcPr>
          <w:p w14:paraId="249B757D" w14:textId="2449650D"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7AF703AA" w14:textId="5ED1C68A"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r>
      <w:tr w:rsidR="00116D85" w:rsidRPr="00B92499" w14:paraId="0C3335F2"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2CBB063" w14:textId="3A1C7B78"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4</w:t>
            </w:r>
          </w:p>
        </w:tc>
        <w:tc>
          <w:tcPr>
            <w:tcW w:w="1304" w:type="dxa"/>
            <w:tcBorders>
              <w:top w:val="nil"/>
              <w:left w:val="nil"/>
              <w:bottom w:val="single" w:sz="4" w:space="0" w:color="auto"/>
              <w:right w:val="single" w:sz="4" w:space="0" w:color="auto"/>
            </w:tcBorders>
            <w:shd w:val="clear" w:color="000000" w:fill="FFFFFF"/>
            <w:vAlign w:val="center"/>
            <w:hideMark/>
          </w:tcPr>
          <w:p w14:paraId="6B3AB861" w14:textId="7303C00C"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Inclusión y Bienestar Social</w:t>
            </w:r>
          </w:p>
        </w:tc>
        <w:tc>
          <w:tcPr>
            <w:tcW w:w="850" w:type="dxa"/>
            <w:tcBorders>
              <w:top w:val="nil"/>
              <w:left w:val="nil"/>
              <w:bottom w:val="single" w:sz="4" w:space="0" w:color="auto"/>
              <w:right w:val="single" w:sz="4" w:space="0" w:color="auto"/>
            </w:tcBorders>
            <w:shd w:val="clear" w:color="000000" w:fill="BDD7EE"/>
            <w:noWrap/>
            <w:vAlign w:val="center"/>
            <w:hideMark/>
          </w:tcPr>
          <w:p w14:paraId="46C04917" w14:textId="744E442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96.92</w:t>
            </w:r>
          </w:p>
        </w:tc>
        <w:tc>
          <w:tcPr>
            <w:tcW w:w="850" w:type="dxa"/>
            <w:tcBorders>
              <w:top w:val="nil"/>
              <w:left w:val="nil"/>
              <w:bottom w:val="single" w:sz="4" w:space="0" w:color="auto"/>
              <w:right w:val="single" w:sz="4" w:space="0" w:color="auto"/>
            </w:tcBorders>
            <w:shd w:val="clear" w:color="000000" w:fill="D9D9D9"/>
            <w:noWrap/>
            <w:vAlign w:val="center"/>
            <w:hideMark/>
          </w:tcPr>
          <w:p w14:paraId="59C0C7E7" w14:textId="69CBC101"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3.08</w:t>
            </w:r>
          </w:p>
        </w:tc>
        <w:tc>
          <w:tcPr>
            <w:tcW w:w="850" w:type="dxa"/>
            <w:tcBorders>
              <w:top w:val="nil"/>
              <w:left w:val="nil"/>
              <w:bottom w:val="single" w:sz="4" w:space="0" w:color="auto"/>
              <w:right w:val="single" w:sz="4" w:space="0" w:color="auto"/>
            </w:tcBorders>
            <w:shd w:val="clear" w:color="auto" w:fill="auto"/>
            <w:noWrap/>
            <w:vAlign w:val="center"/>
            <w:hideMark/>
          </w:tcPr>
          <w:p w14:paraId="53C1CCDF" w14:textId="34F61900"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4CDD6CB0" w14:textId="5710811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98.07</w:t>
            </w:r>
          </w:p>
        </w:tc>
        <w:tc>
          <w:tcPr>
            <w:tcW w:w="850" w:type="dxa"/>
            <w:tcBorders>
              <w:top w:val="nil"/>
              <w:left w:val="nil"/>
              <w:bottom w:val="single" w:sz="4" w:space="0" w:color="auto"/>
              <w:right w:val="single" w:sz="4" w:space="0" w:color="auto"/>
            </w:tcBorders>
            <w:shd w:val="clear" w:color="000000" w:fill="D9D9D9"/>
            <w:noWrap/>
            <w:vAlign w:val="center"/>
            <w:hideMark/>
          </w:tcPr>
          <w:p w14:paraId="659F886F" w14:textId="18F2452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1.93</w:t>
            </w:r>
          </w:p>
        </w:tc>
        <w:tc>
          <w:tcPr>
            <w:tcW w:w="850" w:type="dxa"/>
            <w:tcBorders>
              <w:top w:val="nil"/>
              <w:left w:val="nil"/>
              <w:bottom w:val="single" w:sz="4" w:space="0" w:color="auto"/>
              <w:right w:val="single" w:sz="4" w:space="0" w:color="auto"/>
            </w:tcBorders>
            <w:shd w:val="clear" w:color="auto" w:fill="auto"/>
            <w:noWrap/>
            <w:vAlign w:val="center"/>
            <w:hideMark/>
          </w:tcPr>
          <w:p w14:paraId="3441E4C4" w14:textId="6029ED90"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5EF1EFE5" w14:textId="300424B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97.49</w:t>
            </w:r>
          </w:p>
        </w:tc>
        <w:tc>
          <w:tcPr>
            <w:tcW w:w="850" w:type="dxa"/>
            <w:tcBorders>
              <w:top w:val="nil"/>
              <w:left w:val="nil"/>
              <w:bottom w:val="single" w:sz="4" w:space="0" w:color="auto"/>
              <w:right w:val="single" w:sz="4" w:space="0" w:color="auto"/>
            </w:tcBorders>
            <w:shd w:val="clear" w:color="000000" w:fill="D9D9D9"/>
            <w:noWrap/>
            <w:vAlign w:val="center"/>
            <w:hideMark/>
          </w:tcPr>
          <w:p w14:paraId="028D02FB" w14:textId="03AD2654"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2.51</w:t>
            </w:r>
          </w:p>
        </w:tc>
        <w:tc>
          <w:tcPr>
            <w:tcW w:w="850" w:type="dxa"/>
            <w:tcBorders>
              <w:top w:val="nil"/>
              <w:left w:val="nil"/>
              <w:bottom w:val="single" w:sz="4" w:space="0" w:color="auto"/>
              <w:right w:val="single" w:sz="4" w:space="0" w:color="auto"/>
            </w:tcBorders>
            <w:shd w:val="clear" w:color="auto" w:fill="auto"/>
            <w:noWrap/>
            <w:vAlign w:val="center"/>
            <w:hideMark/>
          </w:tcPr>
          <w:p w14:paraId="76B8020A" w14:textId="438BA1FA" w:rsidR="00116D85" w:rsidRPr="00B92499" w:rsidRDefault="00116D85" w:rsidP="00F218DB">
            <w:pPr>
              <w:jc w:val="center"/>
              <w:rPr>
                <w:rFonts w:ascii="Arial" w:hAnsi="Arial" w:cs="Arial"/>
                <w:color w:val="000000"/>
                <w:sz w:val="16"/>
                <w:szCs w:val="16"/>
              </w:rPr>
            </w:pPr>
            <w:r w:rsidRPr="00B92499">
              <w:rPr>
                <w:rFonts w:ascii="Arial" w:hAnsi="Arial" w:cs="Arial"/>
                <w:color w:val="000000"/>
                <w:sz w:val="16"/>
                <w:szCs w:val="16"/>
              </w:rPr>
              <w:t>100</w:t>
            </w:r>
          </w:p>
        </w:tc>
      </w:tr>
      <w:tr w:rsidR="00116D85" w:rsidRPr="00B92499" w14:paraId="4E2A1E49"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23A93625" w14:textId="2C83DF8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5</w:t>
            </w:r>
          </w:p>
        </w:tc>
        <w:tc>
          <w:tcPr>
            <w:tcW w:w="1304" w:type="dxa"/>
            <w:tcBorders>
              <w:top w:val="nil"/>
              <w:left w:val="nil"/>
              <w:bottom w:val="single" w:sz="4" w:space="0" w:color="auto"/>
              <w:right w:val="single" w:sz="4" w:space="0" w:color="auto"/>
            </w:tcBorders>
            <w:shd w:val="clear" w:color="000000" w:fill="FFFFFF"/>
            <w:vAlign w:val="center"/>
            <w:hideMark/>
          </w:tcPr>
          <w:p w14:paraId="2D8EE9E2" w14:textId="6F8B7906"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Educación, Ciencia, Tecnología e Innovación</w:t>
            </w:r>
          </w:p>
        </w:tc>
        <w:tc>
          <w:tcPr>
            <w:tcW w:w="850" w:type="dxa"/>
            <w:tcBorders>
              <w:top w:val="nil"/>
              <w:left w:val="nil"/>
              <w:bottom w:val="single" w:sz="4" w:space="0" w:color="auto"/>
              <w:right w:val="single" w:sz="4" w:space="0" w:color="auto"/>
            </w:tcBorders>
            <w:shd w:val="clear" w:color="000000" w:fill="BDD7EE"/>
            <w:noWrap/>
            <w:vAlign w:val="center"/>
            <w:hideMark/>
          </w:tcPr>
          <w:p w14:paraId="5EAF3EAB" w14:textId="4E9404D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97.44</w:t>
            </w:r>
          </w:p>
        </w:tc>
        <w:tc>
          <w:tcPr>
            <w:tcW w:w="850" w:type="dxa"/>
            <w:tcBorders>
              <w:top w:val="nil"/>
              <w:left w:val="nil"/>
              <w:bottom w:val="single" w:sz="4" w:space="0" w:color="auto"/>
              <w:right w:val="single" w:sz="4" w:space="0" w:color="auto"/>
            </w:tcBorders>
            <w:shd w:val="clear" w:color="000000" w:fill="D9D9D9"/>
            <w:noWrap/>
            <w:vAlign w:val="center"/>
            <w:hideMark/>
          </w:tcPr>
          <w:p w14:paraId="04040F79" w14:textId="36014C1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2AD25745" w14:textId="5F67C21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98.48</w:t>
            </w:r>
          </w:p>
        </w:tc>
        <w:tc>
          <w:tcPr>
            <w:tcW w:w="850" w:type="dxa"/>
            <w:tcBorders>
              <w:top w:val="nil"/>
              <w:left w:val="nil"/>
              <w:bottom w:val="single" w:sz="4" w:space="0" w:color="auto"/>
              <w:right w:val="single" w:sz="4" w:space="0" w:color="auto"/>
            </w:tcBorders>
            <w:shd w:val="clear" w:color="000000" w:fill="BDD7EE"/>
            <w:noWrap/>
            <w:vAlign w:val="center"/>
            <w:hideMark/>
          </w:tcPr>
          <w:p w14:paraId="626AC263" w14:textId="1536CBB1"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98.79</w:t>
            </w:r>
          </w:p>
        </w:tc>
        <w:tc>
          <w:tcPr>
            <w:tcW w:w="850" w:type="dxa"/>
            <w:tcBorders>
              <w:top w:val="nil"/>
              <w:left w:val="nil"/>
              <w:bottom w:val="single" w:sz="4" w:space="0" w:color="auto"/>
              <w:right w:val="single" w:sz="4" w:space="0" w:color="auto"/>
            </w:tcBorders>
            <w:shd w:val="clear" w:color="000000" w:fill="D9D9D9"/>
            <w:noWrap/>
            <w:vAlign w:val="center"/>
            <w:hideMark/>
          </w:tcPr>
          <w:p w14:paraId="34B04561" w14:textId="5F8A908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0.57</w:t>
            </w:r>
          </w:p>
        </w:tc>
        <w:tc>
          <w:tcPr>
            <w:tcW w:w="850" w:type="dxa"/>
            <w:tcBorders>
              <w:top w:val="nil"/>
              <w:left w:val="nil"/>
              <w:bottom w:val="single" w:sz="4" w:space="0" w:color="auto"/>
              <w:right w:val="single" w:sz="4" w:space="0" w:color="auto"/>
            </w:tcBorders>
            <w:shd w:val="clear" w:color="auto" w:fill="auto"/>
            <w:noWrap/>
            <w:vAlign w:val="center"/>
            <w:hideMark/>
          </w:tcPr>
          <w:p w14:paraId="696265EA" w14:textId="07B1935D"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99.36</w:t>
            </w:r>
          </w:p>
        </w:tc>
        <w:tc>
          <w:tcPr>
            <w:tcW w:w="850" w:type="dxa"/>
            <w:tcBorders>
              <w:top w:val="nil"/>
              <w:left w:val="nil"/>
              <w:bottom w:val="single" w:sz="4" w:space="0" w:color="auto"/>
              <w:right w:val="single" w:sz="4" w:space="0" w:color="auto"/>
            </w:tcBorders>
            <w:shd w:val="clear" w:color="000000" w:fill="BDD7EE"/>
            <w:noWrap/>
            <w:vAlign w:val="center"/>
            <w:hideMark/>
          </w:tcPr>
          <w:p w14:paraId="7EECAD60" w14:textId="3676DA3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98.11</w:t>
            </w:r>
          </w:p>
        </w:tc>
        <w:tc>
          <w:tcPr>
            <w:tcW w:w="850" w:type="dxa"/>
            <w:tcBorders>
              <w:top w:val="nil"/>
              <w:left w:val="nil"/>
              <w:bottom w:val="single" w:sz="4" w:space="0" w:color="auto"/>
              <w:right w:val="single" w:sz="4" w:space="0" w:color="auto"/>
            </w:tcBorders>
            <w:shd w:val="clear" w:color="000000" w:fill="D9D9D9"/>
            <w:noWrap/>
            <w:vAlign w:val="center"/>
            <w:hideMark/>
          </w:tcPr>
          <w:p w14:paraId="58C4473E" w14:textId="2C997AB5"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0.81</w:t>
            </w:r>
          </w:p>
        </w:tc>
        <w:tc>
          <w:tcPr>
            <w:tcW w:w="850" w:type="dxa"/>
            <w:tcBorders>
              <w:top w:val="nil"/>
              <w:left w:val="nil"/>
              <w:bottom w:val="single" w:sz="4" w:space="0" w:color="auto"/>
              <w:right w:val="single" w:sz="4" w:space="0" w:color="auto"/>
            </w:tcBorders>
            <w:shd w:val="clear" w:color="auto" w:fill="auto"/>
            <w:noWrap/>
            <w:vAlign w:val="center"/>
            <w:hideMark/>
          </w:tcPr>
          <w:p w14:paraId="7CEDE9AA" w14:textId="3F26AF6E"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98.92</w:t>
            </w:r>
          </w:p>
        </w:tc>
      </w:tr>
      <w:tr w:rsidR="00116D85" w:rsidRPr="00B92499" w14:paraId="3612CE08"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40D8B65A" w14:textId="025D70A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6</w:t>
            </w:r>
          </w:p>
        </w:tc>
        <w:tc>
          <w:tcPr>
            <w:tcW w:w="1304" w:type="dxa"/>
            <w:tcBorders>
              <w:top w:val="nil"/>
              <w:left w:val="nil"/>
              <w:bottom w:val="single" w:sz="4" w:space="0" w:color="auto"/>
              <w:right w:val="single" w:sz="4" w:space="0" w:color="auto"/>
            </w:tcBorders>
            <w:shd w:val="clear" w:color="000000" w:fill="FFFFFF"/>
            <w:vAlign w:val="center"/>
            <w:hideMark/>
          </w:tcPr>
          <w:p w14:paraId="54D880BF" w14:textId="1162FFC2"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las Mujeres</w:t>
            </w:r>
          </w:p>
        </w:tc>
        <w:tc>
          <w:tcPr>
            <w:tcW w:w="850" w:type="dxa"/>
            <w:tcBorders>
              <w:top w:val="nil"/>
              <w:left w:val="nil"/>
              <w:bottom w:val="single" w:sz="4" w:space="0" w:color="auto"/>
              <w:right w:val="single" w:sz="4" w:space="0" w:color="auto"/>
            </w:tcBorders>
            <w:shd w:val="clear" w:color="000000" w:fill="BDD7EE"/>
            <w:noWrap/>
            <w:vAlign w:val="center"/>
            <w:hideMark/>
          </w:tcPr>
          <w:p w14:paraId="10D0085D" w14:textId="2A00D12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86.07</w:t>
            </w:r>
          </w:p>
        </w:tc>
        <w:tc>
          <w:tcPr>
            <w:tcW w:w="850" w:type="dxa"/>
            <w:tcBorders>
              <w:top w:val="nil"/>
              <w:left w:val="nil"/>
              <w:bottom w:val="single" w:sz="4" w:space="0" w:color="auto"/>
              <w:right w:val="single" w:sz="4" w:space="0" w:color="auto"/>
            </w:tcBorders>
            <w:shd w:val="clear" w:color="000000" w:fill="D9D9D9"/>
            <w:noWrap/>
            <w:vAlign w:val="center"/>
            <w:hideMark/>
          </w:tcPr>
          <w:p w14:paraId="17DD9D9F" w14:textId="505F4D9E"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3.53</w:t>
            </w:r>
          </w:p>
        </w:tc>
        <w:tc>
          <w:tcPr>
            <w:tcW w:w="850" w:type="dxa"/>
            <w:tcBorders>
              <w:top w:val="nil"/>
              <w:left w:val="nil"/>
              <w:bottom w:val="single" w:sz="4" w:space="0" w:color="auto"/>
              <w:right w:val="single" w:sz="4" w:space="0" w:color="auto"/>
            </w:tcBorders>
            <w:shd w:val="clear" w:color="auto" w:fill="auto"/>
            <w:noWrap/>
            <w:vAlign w:val="center"/>
            <w:hideMark/>
          </w:tcPr>
          <w:p w14:paraId="2BF49B54" w14:textId="4FF154B9"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89.61</w:t>
            </w:r>
          </w:p>
        </w:tc>
        <w:tc>
          <w:tcPr>
            <w:tcW w:w="850" w:type="dxa"/>
            <w:tcBorders>
              <w:top w:val="nil"/>
              <w:left w:val="nil"/>
              <w:bottom w:val="single" w:sz="4" w:space="0" w:color="auto"/>
              <w:right w:val="single" w:sz="4" w:space="0" w:color="auto"/>
            </w:tcBorders>
            <w:shd w:val="clear" w:color="000000" w:fill="BDD7EE"/>
            <w:noWrap/>
            <w:vAlign w:val="center"/>
            <w:hideMark/>
          </w:tcPr>
          <w:p w14:paraId="61F7B2B1" w14:textId="1CF1587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87.14</w:t>
            </w:r>
          </w:p>
        </w:tc>
        <w:tc>
          <w:tcPr>
            <w:tcW w:w="850" w:type="dxa"/>
            <w:tcBorders>
              <w:top w:val="nil"/>
              <w:left w:val="nil"/>
              <w:bottom w:val="single" w:sz="4" w:space="0" w:color="auto"/>
              <w:right w:val="single" w:sz="4" w:space="0" w:color="auto"/>
            </w:tcBorders>
            <w:shd w:val="clear" w:color="000000" w:fill="D9D9D9"/>
            <w:noWrap/>
            <w:vAlign w:val="center"/>
            <w:hideMark/>
          </w:tcPr>
          <w:p w14:paraId="768F0D95" w14:textId="6FB3C1AC"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7.05</w:t>
            </w:r>
          </w:p>
        </w:tc>
        <w:tc>
          <w:tcPr>
            <w:tcW w:w="850" w:type="dxa"/>
            <w:tcBorders>
              <w:top w:val="nil"/>
              <w:left w:val="nil"/>
              <w:bottom w:val="single" w:sz="4" w:space="0" w:color="auto"/>
              <w:right w:val="single" w:sz="4" w:space="0" w:color="auto"/>
            </w:tcBorders>
            <w:shd w:val="clear" w:color="auto" w:fill="auto"/>
            <w:noWrap/>
            <w:vAlign w:val="center"/>
            <w:hideMark/>
          </w:tcPr>
          <w:p w14:paraId="690912CC" w14:textId="1E2A57C3"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94.19</w:t>
            </w:r>
          </w:p>
        </w:tc>
        <w:tc>
          <w:tcPr>
            <w:tcW w:w="850" w:type="dxa"/>
            <w:tcBorders>
              <w:top w:val="nil"/>
              <w:left w:val="nil"/>
              <w:bottom w:val="single" w:sz="4" w:space="0" w:color="auto"/>
              <w:right w:val="single" w:sz="4" w:space="0" w:color="auto"/>
            </w:tcBorders>
            <w:shd w:val="clear" w:color="000000" w:fill="BDD7EE"/>
            <w:noWrap/>
            <w:vAlign w:val="center"/>
            <w:hideMark/>
          </w:tcPr>
          <w:p w14:paraId="1C231E1D" w14:textId="0E648E2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86.61</w:t>
            </w:r>
          </w:p>
        </w:tc>
        <w:tc>
          <w:tcPr>
            <w:tcW w:w="850" w:type="dxa"/>
            <w:tcBorders>
              <w:top w:val="nil"/>
              <w:left w:val="nil"/>
              <w:bottom w:val="single" w:sz="4" w:space="0" w:color="auto"/>
              <w:right w:val="single" w:sz="4" w:space="0" w:color="auto"/>
            </w:tcBorders>
            <w:shd w:val="clear" w:color="000000" w:fill="D9D9D9"/>
            <w:noWrap/>
            <w:vAlign w:val="center"/>
            <w:hideMark/>
          </w:tcPr>
          <w:p w14:paraId="0A46F7A2" w14:textId="0562B45F"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5.29</w:t>
            </w:r>
          </w:p>
        </w:tc>
        <w:tc>
          <w:tcPr>
            <w:tcW w:w="850" w:type="dxa"/>
            <w:tcBorders>
              <w:top w:val="nil"/>
              <w:left w:val="nil"/>
              <w:bottom w:val="single" w:sz="4" w:space="0" w:color="auto"/>
              <w:right w:val="single" w:sz="4" w:space="0" w:color="auto"/>
            </w:tcBorders>
            <w:shd w:val="clear" w:color="auto" w:fill="auto"/>
            <w:noWrap/>
            <w:vAlign w:val="center"/>
            <w:hideMark/>
          </w:tcPr>
          <w:p w14:paraId="5F96C510" w14:textId="581E0AFD"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91.90</w:t>
            </w:r>
          </w:p>
        </w:tc>
      </w:tr>
      <w:tr w:rsidR="00116D85" w:rsidRPr="00B92499" w14:paraId="468DE10A"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A76CCDF" w14:textId="58592A5C"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7</w:t>
            </w:r>
          </w:p>
        </w:tc>
        <w:tc>
          <w:tcPr>
            <w:tcW w:w="1304" w:type="dxa"/>
            <w:tcBorders>
              <w:top w:val="nil"/>
              <w:left w:val="nil"/>
              <w:bottom w:val="single" w:sz="4" w:space="0" w:color="auto"/>
              <w:right w:val="single" w:sz="4" w:space="0" w:color="auto"/>
            </w:tcBorders>
            <w:shd w:val="clear" w:color="000000" w:fill="FFFFFF"/>
            <w:vAlign w:val="center"/>
            <w:hideMark/>
          </w:tcPr>
          <w:p w14:paraId="0A9E30D3" w14:textId="736C854E"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Gestión Integral de Riesgos y Protección Civil</w:t>
            </w:r>
          </w:p>
        </w:tc>
        <w:tc>
          <w:tcPr>
            <w:tcW w:w="850" w:type="dxa"/>
            <w:tcBorders>
              <w:top w:val="nil"/>
              <w:left w:val="nil"/>
              <w:bottom w:val="single" w:sz="4" w:space="0" w:color="auto"/>
              <w:right w:val="single" w:sz="4" w:space="0" w:color="auto"/>
            </w:tcBorders>
            <w:shd w:val="clear" w:color="000000" w:fill="BDD7EE"/>
            <w:noWrap/>
            <w:vAlign w:val="center"/>
            <w:hideMark/>
          </w:tcPr>
          <w:p w14:paraId="71C3CFC3" w14:textId="16B01C1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93.21</w:t>
            </w:r>
          </w:p>
        </w:tc>
        <w:tc>
          <w:tcPr>
            <w:tcW w:w="850" w:type="dxa"/>
            <w:tcBorders>
              <w:top w:val="nil"/>
              <w:left w:val="nil"/>
              <w:bottom w:val="single" w:sz="4" w:space="0" w:color="auto"/>
              <w:right w:val="single" w:sz="4" w:space="0" w:color="auto"/>
            </w:tcBorders>
            <w:shd w:val="clear" w:color="000000" w:fill="D9D9D9"/>
            <w:noWrap/>
            <w:vAlign w:val="center"/>
            <w:hideMark/>
          </w:tcPr>
          <w:p w14:paraId="00066621" w14:textId="287E5E68"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0.05</w:t>
            </w:r>
          </w:p>
        </w:tc>
        <w:tc>
          <w:tcPr>
            <w:tcW w:w="850" w:type="dxa"/>
            <w:tcBorders>
              <w:top w:val="nil"/>
              <w:left w:val="nil"/>
              <w:bottom w:val="single" w:sz="4" w:space="0" w:color="auto"/>
              <w:right w:val="single" w:sz="4" w:space="0" w:color="auto"/>
            </w:tcBorders>
            <w:shd w:val="clear" w:color="auto" w:fill="auto"/>
            <w:noWrap/>
            <w:vAlign w:val="center"/>
            <w:hideMark/>
          </w:tcPr>
          <w:p w14:paraId="10889DE3" w14:textId="605B027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93.26</w:t>
            </w:r>
          </w:p>
        </w:tc>
        <w:tc>
          <w:tcPr>
            <w:tcW w:w="850" w:type="dxa"/>
            <w:tcBorders>
              <w:top w:val="nil"/>
              <w:left w:val="nil"/>
              <w:bottom w:val="single" w:sz="4" w:space="0" w:color="auto"/>
              <w:right w:val="single" w:sz="4" w:space="0" w:color="auto"/>
            </w:tcBorders>
            <w:shd w:val="clear" w:color="000000" w:fill="BDD7EE"/>
            <w:noWrap/>
            <w:vAlign w:val="center"/>
            <w:hideMark/>
          </w:tcPr>
          <w:p w14:paraId="641DD326" w14:textId="35A8019F"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87.06</w:t>
            </w:r>
          </w:p>
        </w:tc>
        <w:tc>
          <w:tcPr>
            <w:tcW w:w="850" w:type="dxa"/>
            <w:tcBorders>
              <w:top w:val="nil"/>
              <w:left w:val="nil"/>
              <w:bottom w:val="single" w:sz="4" w:space="0" w:color="auto"/>
              <w:right w:val="single" w:sz="4" w:space="0" w:color="auto"/>
            </w:tcBorders>
            <w:shd w:val="clear" w:color="000000" w:fill="D9D9D9"/>
            <w:noWrap/>
            <w:vAlign w:val="center"/>
            <w:hideMark/>
          </w:tcPr>
          <w:p w14:paraId="673A3D73" w14:textId="5317F89D"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0.05</w:t>
            </w:r>
          </w:p>
        </w:tc>
        <w:tc>
          <w:tcPr>
            <w:tcW w:w="850" w:type="dxa"/>
            <w:tcBorders>
              <w:top w:val="nil"/>
              <w:left w:val="nil"/>
              <w:bottom w:val="single" w:sz="4" w:space="0" w:color="auto"/>
              <w:right w:val="single" w:sz="4" w:space="0" w:color="auto"/>
            </w:tcBorders>
            <w:shd w:val="clear" w:color="auto" w:fill="auto"/>
            <w:noWrap/>
            <w:vAlign w:val="center"/>
            <w:hideMark/>
          </w:tcPr>
          <w:p w14:paraId="40545AF1" w14:textId="58971821"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87.10</w:t>
            </w:r>
          </w:p>
        </w:tc>
        <w:tc>
          <w:tcPr>
            <w:tcW w:w="850" w:type="dxa"/>
            <w:tcBorders>
              <w:top w:val="nil"/>
              <w:left w:val="nil"/>
              <w:bottom w:val="single" w:sz="4" w:space="0" w:color="auto"/>
              <w:right w:val="single" w:sz="4" w:space="0" w:color="auto"/>
            </w:tcBorders>
            <w:shd w:val="clear" w:color="000000" w:fill="BDD7EE"/>
            <w:noWrap/>
            <w:vAlign w:val="center"/>
            <w:hideMark/>
          </w:tcPr>
          <w:p w14:paraId="7F31942E" w14:textId="18082EBA"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90.13</w:t>
            </w:r>
          </w:p>
        </w:tc>
        <w:tc>
          <w:tcPr>
            <w:tcW w:w="850" w:type="dxa"/>
            <w:tcBorders>
              <w:top w:val="nil"/>
              <w:left w:val="nil"/>
              <w:bottom w:val="single" w:sz="4" w:space="0" w:color="auto"/>
              <w:right w:val="single" w:sz="4" w:space="0" w:color="auto"/>
            </w:tcBorders>
            <w:shd w:val="clear" w:color="000000" w:fill="D9D9D9"/>
            <w:noWrap/>
            <w:vAlign w:val="center"/>
            <w:hideMark/>
          </w:tcPr>
          <w:p w14:paraId="2C0EB79A" w14:textId="381FED1F"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0.05</w:t>
            </w:r>
          </w:p>
        </w:tc>
        <w:tc>
          <w:tcPr>
            <w:tcW w:w="850" w:type="dxa"/>
            <w:tcBorders>
              <w:top w:val="nil"/>
              <w:left w:val="nil"/>
              <w:bottom w:val="single" w:sz="4" w:space="0" w:color="auto"/>
              <w:right w:val="single" w:sz="4" w:space="0" w:color="auto"/>
            </w:tcBorders>
            <w:shd w:val="clear" w:color="auto" w:fill="auto"/>
            <w:noWrap/>
            <w:vAlign w:val="center"/>
            <w:hideMark/>
          </w:tcPr>
          <w:p w14:paraId="4BA65168" w14:textId="7BAC9904"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90.18</w:t>
            </w:r>
          </w:p>
        </w:tc>
      </w:tr>
      <w:tr w:rsidR="00116D85" w:rsidRPr="00B92499" w14:paraId="5DDB7025" w14:textId="77777777" w:rsidTr="00A972A3">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4BFF29CE" w14:textId="2115027D"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lastRenderedPageBreak/>
              <w:t>8</w:t>
            </w:r>
          </w:p>
        </w:tc>
        <w:tc>
          <w:tcPr>
            <w:tcW w:w="1304" w:type="dxa"/>
            <w:tcBorders>
              <w:top w:val="nil"/>
              <w:left w:val="nil"/>
              <w:bottom w:val="single" w:sz="4" w:space="0" w:color="auto"/>
              <w:right w:val="single" w:sz="4" w:space="0" w:color="auto"/>
            </w:tcBorders>
            <w:shd w:val="clear" w:color="000000" w:fill="FFFFFF"/>
            <w:vAlign w:val="center"/>
            <w:hideMark/>
          </w:tcPr>
          <w:p w14:paraId="16F39044" w14:textId="1D199948" w:rsidR="00116D85" w:rsidRPr="00B92499" w:rsidRDefault="00116D85" w:rsidP="00116D85">
            <w:pPr>
              <w:rPr>
                <w:rFonts w:ascii="Arial" w:hAnsi="Arial" w:cs="Arial"/>
                <w:color w:val="000000"/>
                <w:sz w:val="16"/>
                <w:szCs w:val="16"/>
              </w:rPr>
            </w:pPr>
            <w:r w:rsidRPr="00B92499">
              <w:rPr>
                <w:rFonts w:ascii="Arial" w:hAnsi="Arial" w:cs="Arial"/>
                <w:color w:val="000000"/>
                <w:sz w:val="16"/>
                <w:szCs w:val="16"/>
              </w:rPr>
              <w:t>Secretaría de Pueblos y Barrios Originarios y Comunidades Indigenas Residentes</w:t>
            </w:r>
          </w:p>
        </w:tc>
        <w:tc>
          <w:tcPr>
            <w:tcW w:w="850" w:type="dxa"/>
            <w:tcBorders>
              <w:top w:val="nil"/>
              <w:left w:val="nil"/>
              <w:bottom w:val="single" w:sz="4" w:space="0" w:color="auto"/>
              <w:right w:val="single" w:sz="4" w:space="0" w:color="auto"/>
            </w:tcBorders>
            <w:shd w:val="clear" w:color="000000" w:fill="BDD7EE"/>
            <w:noWrap/>
            <w:vAlign w:val="center"/>
            <w:hideMark/>
          </w:tcPr>
          <w:p w14:paraId="18F23EAC" w14:textId="576EA9D2"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84.29</w:t>
            </w:r>
          </w:p>
        </w:tc>
        <w:tc>
          <w:tcPr>
            <w:tcW w:w="850" w:type="dxa"/>
            <w:tcBorders>
              <w:top w:val="nil"/>
              <w:left w:val="nil"/>
              <w:bottom w:val="single" w:sz="4" w:space="0" w:color="auto"/>
              <w:right w:val="single" w:sz="4" w:space="0" w:color="auto"/>
            </w:tcBorders>
            <w:shd w:val="clear" w:color="000000" w:fill="D9D9D9"/>
            <w:noWrap/>
            <w:vAlign w:val="center"/>
            <w:hideMark/>
          </w:tcPr>
          <w:p w14:paraId="205B0848" w14:textId="00B6DF5E"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1.36</w:t>
            </w:r>
          </w:p>
        </w:tc>
        <w:tc>
          <w:tcPr>
            <w:tcW w:w="850" w:type="dxa"/>
            <w:tcBorders>
              <w:top w:val="nil"/>
              <w:left w:val="nil"/>
              <w:bottom w:val="single" w:sz="4" w:space="0" w:color="auto"/>
              <w:right w:val="single" w:sz="4" w:space="0" w:color="auto"/>
            </w:tcBorders>
            <w:shd w:val="clear" w:color="auto" w:fill="auto"/>
            <w:noWrap/>
            <w:vAlign w:val="center"/>
            <w:hideMark/>
          </w:tcPr>
          <w:p w14:paraId="5F5963AF" w14:textId="60E2685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85.46</w:t>
            </w:r>
          </w:p>
        </w:tc>
        <w:tc>
          <w:tcPr>
            <w:tcW w:w="850" w:type="dxa"/>
            <w:tcBorders>
              <w:top w:val="nil"/>
              <w:left w:val="nil"/>
              <w:bottom w:val="single" w:sz="4" w:space="0" w:color="auto"/>
              <w:right w:val="single" w:sz="4" w:space="0" w:color="auto"/>
            </w:tcBorders>
            <w:shd w:val="clear" w:color="000000" w:fill="BDD7EE"/>
            <w:noWrap/>
            <w:vAlign w:val="center"/>
            <w:hideMark/>
          </w:tcPr>
          <w:p w14:paraId="03520CE4" w14:textId="77A51F18"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91.05</w:t>
            </w:r>
          </w:p>
        </w:tc>
        <w:tc>
          <w:tcPr>
            <w:tcW w:w="850" w:type="dxa"/>
            <w:tcBorders>
              <w:top w:val="nil"/>
              <w:left w:val="nil"/>
              <w:bottom w:val="single" w:sz="4" w:space="0" w:color="auto"/>
              <w:right w:val="single" w:sz="4" w:space="0" w:color="auto"/>
            </w:tcBorders>
            <w:shd w:val="clear" w:color="000000" w:fill="D9D9D9"/>
            <w:noWrap/>
            <w:vAlign w:val="center"/>
            <w:hideMark/>
          </w:tcPr>
          <w:p w14:paraId="7DC531E9" w14:textId="5F612923"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1.26</w:t>
            </w:r>
          </w:p>
        </w:tc>
        <w:tc>
          <w:tcPr>
            <w:tcW w:w="850" w:type="dxa"/>
            <w:tcBorders>
              <w:top w:val="nil"/>
              <w:left w:val="nil"/>
              <w:bottom w:val="single" w:sz="4" w:space="0" w:color="auto"/>
              <w:right w:val="single" w:sz="4" w:space="0" w:color="auto"/>
            </w:tcBorders>
            <w:shd w:val="clear" w:color="auto" w:fill="auto"/>
            <w:noWrap/>
            <w:vAlign w:val="center"/>
            <w:hideMark/>
          </w:tcPr>
          <w:p w14:paraId="1118A27F" w14:textId="5B05E661"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92.22</w:t>
            </w:r>
          </w:p>
        </w:tc>
        <w:tc>
          <w:tcPr>
            <w:tcW w:w="850" w:type="dxa"/>
            <w:tcBorders>
              <w:top w:val="nil"/>
              <w:left w:val="nil"/>
              <w:bottom w:val="single" w:sz="4" w:space="0" w:color="auto"/>
              <w:right w:val="single" w:sz="4" w:space="0" w:color="auto"/>
            </w:tcBorders>
            <w:shd w:val="clear" w:color="000000" w:fill="BDD7EE"/>
            <w:noWrap/>
            <w:vAlign w:val="center"/>
            <w:hideMark/>
          </w:tcPr>
          <w:p w14:paraId="791EAD70" w14:textId="72972D40"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87.67</w:t>
            </w:r>
          </w:p>
        </w:tc>
        <w:tc>
          <w:tcPr>
            <w:tcW w:w="850" w:type="dxa"/>
            <w:tcBorders>
              <w:top w:val="nil"/>
              <w:left w:val="nil"/>
              <w:bottom w:val="single" w:sz="4" w:space="0" w:color="auto"/>
              <w:right w:val="single" w:sz="4" w:space="0" w:color="auto"/>
            </w:tcBorders>
            <w:shd w:val="clear" w:color="000000" w:fill="D9D9D9"/>
            <w:noWrap/>
            <w:vAlign w:val="center"/>
            <w:hideMark/>
          </w:tcPr>
          <w:p w14:paraId="28F09095" w14:textId="7568FB4B"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1.31</w:t>
            </w:r>
          </w:p>
        </w:tc>
        <w:tc>
          <w:tcPr>
            <w:tcW w:w="850" w:type="dxa"/>
            <w:tcBorders>
              <w:top w:val="nil"/>
              <w:left w:val="nil"/>
              <w:bottom w:val="single" w:sz="4" w:space="0" w:color="auto"/>
              <w:right w:val="single" w:sz="4" w:space="0" w:color="auto"/>
            </w:tcBorders>
            <w:shd w:val="clear" w:color="auto" w:fill="auto"/>
            <w:noWrap/>
            <w:vAlign w:val="center"/>
            <w:hideMark/>
          </w:tcPr>
          <w:p w14:paraId="2FE77760" w14:textId="02995F63" w:rsidR="00116D85" w:rsidRPr="00B92499" w:rsidRDefault="00116D85" w:rsidP="00116D85">
            <w:pPr>
              <w:jc w:val="center"/>
              <w:rPr>
                <w:rFonts w:ascii="Arial" w:hAnsi="Arial" w:cs="Arial"/>
                <w:color w:val="000000"/>
                <w:sz w:val="16"/>
                <w:szCs w:val="16"/>
              </w:rPr>
            </w:pPr>
            <w:r w:rsidRPr="00B92499">
              <w:rPr>
                <w:rFonts w:ascii="Arial" w:hAnsi="Arial" w:cs="Arial"/>
                <w:color w:val="000000"/>
                <w:sz w:val="16"/>
                <w:szCs w:val="16"/>
              </w:rPr>
              <w:t>88.84</w:t>
            </w:r>
          </w:p>
        </w:tc>
      </w:tr>
    </w:tbl>
    <w:p w14:paraId="166EFF4F" w14:textId="77777777" w:rsidR="001568FE" w:rsidRPr="00B92499" w:rsidRDefault="001568FE" w:rsidP="001568FE">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3B453DF6" w14:textId="77777777" w:rsidR="001568FE" w:rsidRPr="00B92499" w:rsidRDefault="001568FE" w:rsidP="001568FE">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6A66CC0C" w14:textId="7C7C55A6"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al porcentaje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04AEE5B8" w14:textId="0B76BEE9"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44AF72E6" w14:textId="7881345F"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al porcentaje 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19D7BE18" w14:textId="4AD0C967"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4A45EB6" w14:textId="0271958A"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PNT: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30D2243D" w14:textId="59A8E590" w:rsidR="001568FE" w:rsidRPr="00B92499" w:rsidRDefault="001568FE" w:rsidP="001568F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B983871" w14:textId="77777777" w:rsidR="001568FE" w:rsidRPr="00B92499" w:rsidRDefault="001568FE" w:rsidP="002E7D47">
      <w:pPr>
        <w:spacing w:before="100" w:beforeAutospacing="1" w:after="100" w:afterAutospacing="1" w:line="360" w:lineRule="auto"/>
        <w:contextualSpacing/>
        <w:jc w:val="both"/>
        <w:rPr>
          <w:rFonts w:ascii="Arial" w:hAnsi="Arial" w:cs="Arial"/>
        </w:rPr>
      </w:pPr>
    </w:p>
    <w:p w14:paraId="187AB29E" w14:textId="65199F3D"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la Tabla de Aplicabilidad realizada por la Dirección de Estado Abierto, Estudios y Evaluación (DEAEE) del Instituto de Transparencia, Acceso a la Información Pública, Protección de Datos Personales y Rendición de Cuentas de la Ciudad de México (Instituto), las obligaciones que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Administración Pública Central deben actualizar y publicar en el Sistema de Portales de </w:t>
      </w:r>
      <w:r w:rsidR="008710F6" w:rsidRPr="00B92499">
        <w:rPr>
          <w:rFonts w:ascii="Arial" w:hAnsi="Arial" w:cs="Arial"/>
        </w:rPr>
        <w:t>obligaciones de transparencia</w:t>
      </w:r>
      <w:r w:rsidRPr="00B92499">
        <w:rPr>
          <w:rFonts w:ascii="Arial" w:hAnsi="Arial" w:cs="Arial"/>
        </w:rPr>
        <w:t xml:space="preserve"> (SIPOT) de la Plataforma Nacional de Transparencia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36230781" w14:textId="3E283C20"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121. Obligaciones comunes, </w:t>
      </w:r>
    </w:p>
    <w:p w14:paraId="78E3AADD" w14:textId="28975F1C"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2470B8" w:rsidRPr="00B92499">
        <w:rPr>
          <w:rFonts w:ascii="Arial" w:hAnsi="Arial" w:cs="Arial"/>
          <w:sz w:val="24"/>
          <w:szCs w:val="24"/>
          <w:lang w:val="es-ES_tradnl"/>
        </w:rPr>
        <w:t xml:space="preserve"> 122. </w:t>
      </w:r>
      <w:r w:rsidR="00940CBA" w:rsidRPr="00B92499">
        <w:rPr>
          <w:rFonts w:ascii="Arial" w:hAnsi="Arial" w:cs="Arial"/>
          <w:sz w:val="24"/>
          <w:szCs w:val="24"/>
          <w:lang w:val="es-ES_tradnl"/>
        </w:rPr>
        <w:t xml:space="preserve">Obligaciones comunes que únicamente le son aplicables a la </w:t>
      </w:r>
      <w:r w:rsidR="005B128B" w:rsidRPr="00B92499">
        <w:rPr>
          <w:rFonts w:ascii="Arial" w:hAnsi="Arial" w:cs="Arial"/>
          <w:sz w:val="24"/>
          <w:szCs w:val="24"/>
          <w:lang w:val="es-ES_tradnl"/>
        </w:rPr>
        <w:t>Secretaría de Educación, Ciencia, Tecnología e Innovación, Secretaría de Inclusión y Bienestar Social, Secretaría de las Mujeres y la Secretaría de Pueblos y Barrios Originarios y Comunidades Indígenas Residentes</w:t>
      </w:r>
      <w:r w:rsidR="00C576D2" w:rsidRPr="00B92499">
        <w:rPr>
          <w:rFonts w:ascii="Arial" w:hAnsi="Arial" w:cs="Arial"/>
          <w:sz w:val="24"/>
          <w:szCs w:val="24"/>
          <w:lang w:val="es-ES_tradnl"/>
        </w:rPr>
        <w:t>,</w:t>
      </w:r>
    </w:p>
    <w:p w14:paraId="511ED9AB" w14:textId="52287396"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Artículo</w:t>
      </w:r>
      <w:r w:rsidR="00940CBA" w:rsidRPr="00B92499">
        <w:rPr>
          <w:rFonts w:ascii="Arial" w:hAnsi="Arial" w:cs="Arial"/>
          <w:sz w:val="24"/>
          <w:szCs w:val="24"/>
          <w:lang w:val="es-ES_tradnl"/>
        </w:rPr>
        <w:t xml:space="preserve"> 123. Obligaciones específicas del Poder Ejecutivo,</w:t>
      </w:r>
    </w:p>
    <w:p w14:paraId="279158DA" w14:textId="74E72718"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143. Disposiciones Particulares,</w:t>
      </w:r>
    </w:p>
    <w:p w14:paraId="0E0A73F9" w14:textId="62D3A93F"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145. Disposiciones Particulares,</w:t>
      </w:r>
    </w:p>
    <w:p w14:paraId="420FC397" w14:textId="190B5111"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146. Disposiciones Particulares, y </w:t>
      </w:r>
    </w:p>
    <w:p w14:paraId="71CF512B" w14:textId="6231C6F3" w:rsidR="00940CBA" w:rsidRPr="00B92499" w:rsidRDefault="009D7771" w:rsidP="002E7D47">
      <w:pPr>
        <w:pStyle w:val="Prrafodelista"/>
        <w:numPr>
          <w:ilvl w:val="0"/>
          <w:numId w:val="1"/>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147. Disposiciones Particulares.</w:t>
      </w:r>
    </w:p>
    <w:p w14:paraId="0DB6079B" w14:textId="443FC72D" w:rsidR="001568FE" w:rsidRPr="00B92499" w:rsidRDefault="00940CBA" w:rsidP="009F64B5">
      <w:pPr>
        <w:pStyle w:val="Ttulo3"/>
        <w:numPr>
          <w:ilvl w:val="2"/>
          <w:numId w:val="7"/>
        </w:numPr>
        <w:contextualSpacing/>
        <w:jc w:val="both"/>
        <w:rPr>
          <w:rFonts w:ascii="Arial" w:hAnsi="Arial" w:cs="Arial"/>
          <w:b/>
          <w:color w:val="auto"/>
        </w:rPr>
      </w:pPr>
      <w:bookmarkStart w:id="11" w:name="_Toc23252969"/>
      <w:r w:rsidRPr="00B92499">
        <w:rPr>
          <w:rFonts w:ascii="Arial" w:hAnsi="Arial" w:cs="Arial"/>
          <w:b/>
          <w:color w:val="auto"/>
        </w:rPr>
        <w:t>Análisis global de cumplimiento de la Administración Central</w:t>
      </w:r>
      <w:bookmarkEnd w:id="11"/>
      <w:r w:rsidRPr="00B92499">
        <w:rPr>
          <w:rFonts w:ascii="Arial" w:hAnsi="Arial" w:cs="Arial"/>
          <w:b/>
          <w:color w:val="auto"/>
        </w:rPr>
        <w:t xml:space="preserve"> </w:t>
      </w:r>
    </w:p>
    <w:p w14:paraId="19847DB5" w14:textId="49411640" w:rsidR="001568FE" w:rsidRPr="00B92499" w:rsidRDefault="001568FE" w:rsidP="001568FE">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Índices Globales de Cumplimiento de las </w:t>
      </w:r>
      <w:r w:rsidR="008710F6" w:rsidRPr="00B92499">
        <w:rPr>
          <w:rFonts w:ascii="Arial" w:hAnsi="Arial" w:cs="Arial"/>
          <w:u w:val="single"/>
        </w:rPr>
        <w:t>obligaciones de transparencia</w:t>
      </w:r>
    </w:p>
    <w:p w14:paraId="22FDF9B1" w14:textId="77777777" w:rsidR="001568FE" w:rsidRPr="00B92499" w:rsidRDefault="001568FE" w:rsidP="001568FE">
      <w:pPr>
        <w:spacing w:before="100" w:beforeAutospacing="1" w:after="100" w:afterAutospacing="1" w:line="360" w:lineRule="auto"/>
        <w:contextualSpacing/>
        <w:jc w:val="both"/>
        <w:rPr>
          <w:rFonts w:ascii="Arial" w:hAnsi="Arial" w:cs="Arial"/>
          <w:u w:val="single"/>
        </w:rPr>
      </w:pPr>
    </w:p>
    <w:p w14:paraId="58B3394C" w14:textId="529B445C"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Con relación al IGOT, la calificación más alta fue de 100</w:t>
      </w:r>
      <w:r w:rsidR="00116D85" w:rsidRPr="00B92499">
        <w:rPr>
          <w:rFonts w:ascii="Arial" w:hAnsi="Arial" w:cs="Arial"/>
        </w:rPr>
        <w:t>%</w:t>
      </w:r>
      <w:r w:rsidRPr="00B92499">
        <w:rPr>
          <w:rFonts w:ascii="Arial" w:hAnsi="Arial" w:cs="Arial"/>
        </w:rPr>
        <w:t xml:space="preserve"> y las más baja de </w:t>
      </w:r>
      <w:r w:rsidR="00116D85" w:rsidRPr="00B92499">
        <w:rPr>
          <w:rFonts w:ascii="Arial" w:hAnsi="Arial" w:cs="Arial"/>
        </w:rPr>
        <w:t>88.84%</w:t>
      </w:r>
      <w:r w:rsidRPr="00B92499">
        <w:rPr>
          <w:rFonts w:ascii="Arial" w:hAnsi="Arial" w:cs="Arial"/>
        </w:rPr>
        <w:t xml:space="preserve">; obteniendo este orden de gobierno una calificación promedio de </w:t>
      </w:r>
      <w:r w:rsidR="00116D85" w:rsidRPr="00B92499">
        <w:rPr>
          <w:rFonts w:ascii="Arial" w:hAnsi="Arial" w:cs="Arial"/>
        </w:rPr>
        <w:t>96.23%</w:t>
      </w:r>
      <w:r w:rsidRPr="00B92499">
        <w:rPr>
          <w:rFonts w:ascii="Arial" w:hAnsi="Arial" w:cs="Arial"/>
        </w:rPr>
        <w:t>.</w:t>
      </w:r>
      <w:r w:rsidR="000D67A7" w:rsidRPr="00B92499">
        <w:rPr>
          <w:rFonts w:ascii="Arial" w:hAnsi="Arial" w:cs="Arial"/>
        </w:rPr>
        <w:t xml:space="preserve"> 4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obtuvieron un cumplimiento total</w:t>
      </w:r>
      <w:r w:rsidR="00116D85" w:rsidRPr="00B92499">
        <w:rPr>
          <w:rFonts w:ascii="Arial" w:hAnsi="Arial" w:cs="Arial"/>
        </w:rPr>
        <w:t xml:space="preserve"> y</w:t>
      </w:r>
      <w:r w:rsidR="000D67A7" w:rsidRPr="00B92499">
        <w:rPr>
          <w:rFonts w:ascii="Arial" w:hAnsi="Arial" w:cs="Arial"/>
        </w:rPr>
        <w:t xml:space="preserve"> 4 </w:t>
      </w:r>
      <w:r w:rsidR="00116D85" w:rsidRPr="00B92499">
        <w:rPr>
          <w:rFonts w:ascii="Arial" w:hAnsi="Arial" w:cs="Arial"/>
        </w:rPr>
        <w:t>un cumplimiento parcial</w:t>
      </w:r>
      <w:r w:rsidRPr="00B92499">
        <w:rPr>
          <w:rFonts w:ascii="Arial" w:hAnsi="Arial" w:cs="Arial"/>
        </w:rPr>
        <w:t xml:space="preserve"> obteniendo una calificación entre </w:t>
      </w:r>
      <w:r w:rsidR="00116D85" w:rsidRPr="00B92499">
        <w:rPr>
          <w:rFonts w:ascii="Arial" w:hAnsi="Arial" w:cs="Arial"/>
        </w:rPr>
        <w:t>88.84%</w:t>
      </w:r>
      <w:r w:rsidRPr="00B92499">
        <w:rPr>
          <w:rFonts w:ascii="Arial" w:hAnsi="Arial" w:cs="Arial"/>
        </w:rPr>
        <w:t xml:space="preserve"> y </w:t>
      </w:r>
      <w:r w:rsidR="00116D85" w:rsidRPr="00B92499">
        <w:rPr>
          <w:rFonts w:ascii="Arial" w:hAnsi="Arial" w:cs="Arial"/>
        </w:rPr>
        <w:t>98.92%</w:t>
      </w:r>
      <w:r w:rsidRPr="00B92499">
        <w:rPr>
          <w:rFonts w:ascii="Arial" w:hAnsi="Arial" w:cs="Arial"/>
        </w:rPr>
        <w:t>.</w:t>
      </w:r>
    </w:p>
    <w:p w14:paraId="74456825" w14:textId="77777777" w:rsidR="00116D85" w:rsidRPr="00B92499" w:rsidRDefault="00116D85" w:rsidP="001568FE">
      <w:pPr>
        <w:spacing w:before="100" w:beforeAutospacing="1" w:after="100" w:afterAutospacing="1" w:line="360" w:lineRule="auto"/>
        <w:contextualSpacing/>
        <w:jc w:val="both"/>
        <w:rPr>
          <w:rFonts w:ascii="Arial" w:hAnsi="Arial" w:cs="Arial"/>
        </w:rPr>
      </w:pPr>
    </w:p>
    <w:p w14:paraId="6EA9EE7A" w14:textId="1A531E1E"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este orden de gobierno existe un grado de cumplimiento de </w:t>
      </w:r>
      <w:r w:rsidR="00116D85" w:rsidRPr="00B92499">
        <w:rPr>
          <w:rFonts w:ascii="Arial" w:hAnsi="Arial" w:cs="Arial"/>
        </w:rPr>
        <w:t>96.23</w:t>
      </w:r>
      <w:r w:rsidRPr="00B92499">
        <w:rPr>
          <w:rFonts w:ascii="Arial" w:hAnsi="Arial" w:cs="Arial"/>
        </w:rPr>
        <w:t>% en lo que respecta a la publicación general de la información, 9</w:t>
      </w:r>
      <w:r w:rsidR="0022431F" w:rsidRPr="00B92499">
        <w:rPr>
          <w:rFonts w:ascii="Arial" w:hAnsi="Arial" w:cs="Arial"/>
        </w:rPr>
        <w:t>6.61</w:t>
      </w:r>
      <w:r w:rsidRPr="00B92499">
        <w:rPr>
          <w:rFonts w:ascii="Arial" w:hAnsi="Arial" w:cs="Arial"/>
        </w:rPr>
        <w:t xml:space="preserve">% sobre la publicación en la PNT y </w:t>
      </w:r>
      <w:r w:rsidR="0022431F" w:rsidRPr="00B92499">
        <w:rPr>
          <w:rFonts w:ascii="Arial" w:hAnsi="Arial" w:cs="Arial"/>
        </w:rPr>
        <w:t>95.85</w:t>
      </w:r>
      <w:r w:rsidRPr="00B92499">
        <w:rPr>
          <w:rFonts w:ascii="Arial" w:hAnsi="Arial" w:cs="Arial"/>
        </w:rPr>
        <w:t xml:space="preserve">% en los portales institucionales de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w:t>
      </w:r>
    </w:p>
    <w:p w14:paraId="082E9E4F" w14:textId="77777777" w:rsidR="001568FE" w:rsidRPr="00B92499" w:rsidRDefault="001568FE" w:rsidP="001568FE">
      <w:pPr>
        <w:spacing w:before="100" w:beforeAutospacing="1" w:after="100" w:afterAutospacing="1" w:line="360" w:lineRule="auto"/>
        <w:contextualSpacing/>
        <w:jc w:val="both"/>
        <w:rPr>
          <w:rFonts w:ascii="Arial" w:hAnsi="Arial" w:cs="Arial"/>
        </w:rPr>
      </w:pPr>
    </w:p>
    <w:p w14:paraId="7F7BE408" w14:textId="350AA8CA"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 xml:space="preserve">No obstante, el grado de cumplimiento anteriormente señalado respecto del ámbito de </w:t>
      </w:r>
      <w:r w:rsidR="0022431F" w:rsidRPr="00B92499">
        <w:rPr>
          <w:rFonts w:ascii="Arial" w:hAnsi="Arial" w:cs="Arial"/>
        </w:rPr>
        <w:t>la Administración Central</w:t>
      </w:r>
      <w:r w:rsidRPr="00B92499">
        <w:rPr>
          <w:rFonts w:ascii="Arial" w:hAnsi="Arial" w:cs="Arial"/>
        </w:rPr>
        <w:t xml:space="preserve"> está conformado por el índice de cumplimiento respecto de la información que se encuentra pública y actualizada tanto en los Portales de Internet Institucionales como en la Plataforma Nacional de Transparencia y el índice de cumplimiento respecto de lo mandatado en las obligaciones de transparencia a través de la publicación de una nota fundada y motivada que aclara el por qué no se generó, publicó o actualizó la información. </w:t>
      </w:r>
    </w:p>
    <w:p w14:paraId="4EE814F8" w14:textId="77777777" w:rsidR="001568FE" w:rsidRPr="00B92499" w:rsidRDefault="001568FE" w:rsidP="001568FE">
      <w:pPr>
        <w:spacing w:before="100" w:beforeAutospacing="1" w:after="100" w:afterAutospacing="1" w:line="360" w:lineRule="auto"/>
        <w:contextualSpacing/>
        <w:jc w:val="both"/>
        <w:rPr>
          <w:rFonts w:ascii="Arial" w:hAnsi="Arial" w:cs="Arial"/>
        </w:rPr>
      </w:pPr>
    </w:p>
    <w:p w14:paraId="387956EB" w14:textId="487AD0B6"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 xml:space="preserve">El grado de cumplimiento de este ámbito, consistente en </w:t>
      </w:r>
      <w:r w:rsidR="0022431F" w:rsidRPr="00B92499">
        <w:rPr>
          <w:rFonts w:ascii="Arial" w:hAnsi="Arial" w:cs="Arial"/>
        </w:rPr>
        <w:t xml:space="preserve">96.23% </w:t>
      </w:r>
      <w:r w:rsidRPr="00B92499">
        <w:rPr>
          <w:rFonts w:ascii="Arial" w:hAnsi="Arial" w:cs="Arial"/>
        </w:rPr>
        <w:t xml:space="preserve">está integrado por </w:t>
      </w:r>
      <w:r w:rsidR="0022431F" w:rsidRPr="00B92499">
        <w:rPr>
          <w:rFonts w:ascii="Arial" w:hAnsi="Arial" w:cs="Arial"/>
        </w:rPr>
        <w:t>95</w:t>
      </w:r>
      <w:r w:rsidRPr="00B92499">
        <w:rPr>
          <w:rFonts w:ascii="Arial" w:hAnsi="Arial" w:cs="Arial"/>
        </w:rPr>
        <w:t xml:space="preserve">% de información publicada y actualizada en atención a los principios mandatados en la Ley de Transparencia Local y un </w:t>
      </w:r>
      <w:r w:rsidR="0022431F" w:rsidRPr="00B92499">
        <w:rPr>
          <w:rFonts w:ascii="Arial" w:hAnsi="Arial" w:cs="Arial"/>
        </w:rPr>
        <w:t>1.23</w:t>
      </w:r>
      <w:r w:rsidRPr="00B92499">
        <w:rPr>
          <w:rFonts w:ascii="Arial" w:hAnsi="Arial" w:cs="Arial"/>
        </w:rPr>
        <w:t xml:space="preserve">% que corresponde a notas aclaratorias. </w:t>
      </w:r>
    </w:p>
    <w:p w14:paraId="220853A2" w14:textId="77777777" w:rsidR="001568FE" w:rsidRPr="00B92499" w:rsidRDefault="001568FE" w:rsidP="001568FE">
      <w:pPr>
        <w:spacing w:before="100" w:beforeAutospacing="1" w:after="100" w:afterAutospacing="1" w:line="360" w:lineRule="auto"/>
        <w:contextualSpacing/>
        <w:jc w:val="both"/>
        <w:rPr>
          <w:rFonts w:ascii="Arial" w:hAnsi="Arial" w:cs="Arial"/>
        </w:rPr>
      </w:pPr>
    </w:p>
    <w:p w14:paraId="347D34A9" w14:textId="22FECE6A" w:rsidR="001568FE" w:rsidRPr="00B92499" w:rsidRDefault="001568FE" w:rsidP="001568FE">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lastRenderedPageBreak/>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425A03D2" w14:textId="77777777" w:rsidR="001568FE" w:rsidRPr="00B92499" w:rsidRDefault="001568FE" w:rsidP="001568FE">
      <w:pPr>
        <w:spacing w:before="100" w:beforeAutospacing="1" w:after="100" w:afterAutospacing="1" w:line="360" w:lineRule="auto"/>
        <w:contextualSpacing/>
        <w:jc w:val="both"/>
        <w:rPr>
          <w:rFonts w:ascii="Arial" w:hAnsi="Arial" w:cs="Arial"/>
          <w:u w:val="single"/>
        </w:rPr>
      </w:pPr>
    </w:p>
    <w:p w14:paraId="1251739F" w14:textId="67825D39"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orden de gobierno del ámbito ejecutivo ha cumplido parcialmente en la publicación y actualización de sus obligaciones comunes, específicas y disposiciones particulares; obteniendo un promedio de cumplimiento de </w:t>
      </w:r>
      <w:r w:rsidR="0022431F" w:rsidRPr="00B92499">
        <w:rPr>
          <w:rFonts w:ascii="Arial" w:hAnsi="Arial" w:cs="Arial"/>
        </w:rPr>
        <w:t>97.82</w:t>
      </w:r>
      <w:r w:rsidRPr="00B92499">
        <w:rPr>
          <w:rFonts w:ascii="Arial" w:hAnsi="Arial" w:cs="Arial"/>
        </w:rPr>
        <w:t xml:space="preserve">%, </w:t>
      </w:r>
      <w:r w:rsidR="0022431F" w:rsidRPr="00B92499">
        <w:rPr>
          <w:rFonts w:ascii="Arial" w:hAnsi="Arial" w:cs="Arial"/>
        </w:rPr>
        <w:t>97.14</w:t>
      </w:r>
      <w:r w:rsidRPr="00B92499">
        <w:rPr>
          <w:rFonts w:ascii="Arial" w:hAnsi="Arial" w:cs="Arial"/>
        </w:rPr>
        <w:t>% y 9</w:t>
      </w:r>
      <w:r w:rsidR="0022431F" w:rsidRPr="00B92499">
        <w:rPr>
          <w:rFonts w:ascii="Arial" w:hAnsi="Arial" w:cs="Arial"/>
        </w:rPr>
        <w:t>4.91</w:t>
      </w:r>
      <w:r w:rsidRPr="00B92499">
        <w:rPr>
          <w:rFonts w:ascii="Arial" w:hAnsi="Arial" w:cs="Arial"/>
        </w:rPr>
        <w:t xml:space="preserve">% respectivamente. </w:t>
      </w:r>
    </w:p>
    <w:p w14:paraId="59CD568E" w14:textId="77777777" w:rsidR="001568FE" w:rsidRPr="00B92499" w:rsidRDefault="001568FE" w:rsidP="001568FE">
      <w:pPr>
        <w:spacing w:before="100" w:beforeAutospacing="1" w:after="100" w:afterAutospacing="1" w:line="360" w:lineRule="auto"/>
        <w:contextualSpacing/>
        <w:jc w:val="both"/>
        <w:rPr>
          <w:rFonts w:ascii="Arial" w:hAnsi="Arial" w:cs="Arial"/>
        </w:rPr>
      </w:pPr>
    </w:p>
    <w:p w14:paraId="357E5D7A" w14:textId="08A3D62D" w:rsidR="001568FE" w:rsidRPr="00B92499" w:rsidRDefault="001568FE" w:rsidP="001568FE">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misma línea, el </w:t>
      </w:r>
      <w:r w:rsidR="0022431F" w:rsidRPr="00B92499">
        <w:rPr>
          <w:rFonts w:ascii="Arial" w:hAnsi="Arial" w:cs="Arial"/>
        </w:rPr>
        <w:t>a</w:t>
      </w:r>
      <w:r w:rsidRPr="00B92499">
        <w:rPr>
          <w:rFonts w:ascii="Arial" w:hAnsi="Arial" w:cs="Arial"/>
        </w:rPr>
        <w:t xml:space="preserve">rtículo 145 tuvo </w:t>
      </w:r>
      <w:r w:rsidR="0022431F" w:rsidRPr="00B92499">
        <w:rPr>
          <w:rFonts w:ascii="Arial" w:hAnsi="Arial" w:cs="Arial"/>
        </w:rPr>
        <w:t xml:space="preserve">un cumplimiento total, el artículo 143 alcanzó </w:t>
      </w:r>
      <w:r w:rsidRPr="00B92499">
        <w:rPr>
          <w:rFonts w:ascii="Arial" w:hAnsi="Arial" w:cs="Arial"/>
        </w:rPr>
        <w:t>un ICP de 99.</w:t>
      </w:r>
      <w:r w:rsidR="0022431F" w:rsidRPr="00B92499">
        <w:rPr>
          <w:rFonts w:ascii="Arial" w:hAnsi="Arial" w:cs="Arial"/>
        </w:rPr>
        <w:t>69%</w:t>
      </w:r>
      <w:r w:rsidRPr="00B92499">
        <w:rPr>
          <w:rFonts w:ascii="Arial" w:hAnsi="Arial" w:cs="Arial"/>
        </w:rPr>
        <w:t xml:space="preserve">, el </w:t>
      </w:r>
      <w:r w:rsidR="0022431F" w:rsidRPr="00B92499">
        <w:rPr>
          <w:rFonts w:ascii="Arial" w:hAnsi="Arial" w:cs="Arial"/>
        </w:rPr>
        <w:t xml:space="preserve">artículo </w:t>
      </w:r>
      <w:r w:rsidRPr="00B92499">
        <w:rPr>
          <w:rFonts w:ascii="Arial" w:hAnsi="Arial" w:cs="Arial"/>
        </w:rPr>
        <w:t>1</w:t>
      </w:r>
      <w:r w:rsidR="0022431F" w:rsidRPr="00B92499">
        <w:rPr>
          <w:rFonts w:ascii="Arial" w:hAnsi="Arial" w:cs="Arial"/>
        </w:rPr>
        <w:t>22</w:t>
      </w:r>
      <w:r w:rsidRPr="00B92499">
        <w:rPr>
          <w:rFonts w:ascii="Arial" w:hAnsi="Arial" w:cs="Arial"/>
        </w:rPr>
        <w:t xml:space="preserve"> obtuvo ICP de 9</w:t>
      </w:r>
      <w:r w:rsidR="0022431F" w:rsidRPr="00B92499">
        <w:rPr>
          <w:rFonts w:ascii="Arial" w:hAnsi="Arial" w:cs="Arial"/>
        </w:rPr>
        <w:t>9.32</w:t>
      </w:r>
      <w:r w:rsidRPr="00B92499">
        <w:rPr>
          <w:rFonts w:ascii="Arial" w:hAnsi="Arial" w:cs="Arial"/>
        </w:rPr>
        <w:t>%, el</w:t>
      </w:r>
      <w:r w:rsidR="0022431F" w:rsidRPr="00B92499">
        <w:rPr>
          <w:rFonts w:ascii="Arial" w:hAnsi="Arial" w:cs="Arial"/>
        </w:rPr>
        <w:t xml:space="preserve"> artículo 123 logró </w:t>
      </w:r>
      <w:r w:rsidRPr="00B92499">
        <w:rPr>
          <w:rFonts w:ascii="Arial" w:hAnsi="Arial" w:cs="Arial"/>
        </w:rPr>
        <w:t>un ICP de 9</w:t>
      </w:r>
      <w:r w:rsidR="0022431F" w:rsidRPr="00B92499">
        <w:rPr>
          <w:rFonts w:ascii="Arial" w:hAnsi="Arial" w:cs="Arial"/>
        </w:rPr>
        <w:t>7.14</w:t>
      </w:r>
      <w:r w:rsidRPr="00B92499">
        <w:rPr>
          <w:rFonts w:ascii="Arial" w:hAnsi="Arial" w:cs="Arial"/>
        </w:rPr>
        <w:t xml:space="preserve">%, el </w:t>
      </w:r>
      <w:r w:rsidR="0022431F" w:rsidRPr="00B92499">
        <w:rPr>
          <w:rFonts w:ascii="Arial" w:hAnsi="Arial" w:cs="Arial"/>
        </w:rPr>
        <w:t xml:space="preserve">artículo </w:t>
      </w:r>
      <w:r w:rsidRPr="00B92499">
        <w:rPr>
          <w:rFonts w:ascii="Arial" w:hAnsi="Arial" w:cs="Arial"/>
        </w:rPr>
        <w:t>12</w:t>
      </w:r>
      <w:r w:rsidR="0022431F" w:rsidRPr="00B92499">
        <w:rPr>
          <w:rFonts w:ascii="Arial" w:hAnsi="Arial" w:cs="Arial"/>
        </w:rPr>
        <w:t>1 tuvo un ICP de 96.31</w:t>
      </w:r>
      <w:r w:rsidRPr="00B92499">
        <w:rPr>
          <w:rFonts w:ascii="Arial" w:hAnsi="Arial" w:cs="Arial"/>
        </w:rPr>
        <w:t xml:space="preserve">%, el </w:t>
      </w:r>
      <w:r w:rsidR="0022431F" w:rsidRPr="00B92499">
        <w:rPr>
          <w:rFonts w:ascii="Arial" w:hAnsi="Arial" w:cs="Arial"/>
        </w:rPr>
        <w:t xml:space="preserve">artículo </w:t>
      </w:r>
      <w:r w:rsidRPr="00B92499">
        <w:rPr>
          <w:rFonts w:ascii="Arial" w:hAnsi="Arial" w:cs="Arial"/>
        </w:rPr>
        <w:t>1</w:t>
      </w:r>
      <w:r w:rsidR="0022431F" w:rsidRPr="00B92499">
        <w:rPr>
          <w:rFonts w:ascii="Arial" w:hAnsi="Arial" w:cs="Arial"/>
        </w:rPr>
        <w:t>47 logró un ICP</w:t>
      </w:r>
      <w:r w:rsidRPr="00B92499">
        <w:rPr>
          <w:rFonts w:ascii="Arial" w:hAnsi="Arial" w:cs="Arial"/>
        </w:rPr>
        <w:t xml:space="preserve"> de </w:t>
      </w:r>
      <w:r w:rsidR="0022431F" w:rsidRPr="00B92499">
        <w:rPr>
          <w:rFonts w:ascii="Arial" w:hAnsi="Arial" w:cs="Arial"/>
        </w:rPr>
        <w:t>92.78</w:t>
      </w:r>
      <w:r w:rsidRPr="00B92499">
        <w:rPr>
          <w:rFonts w:ascii="Arial" w:hAnsi="Arial" w:cs="Arial"/>
        </w:rPr>
        <w:t>%</w:t>
      </w:r>
      <w:r w:rsidR="0022431F" w:rsidRPr="00B92499">
        <w:rPr>
          <w:rFonts w:ascii="Arial" w:hAnsi="Arial" w:cs="Arial"/>
        </w:rPr>
        <w:t xml:space="preserve"> y, </w:t>
      </w:r>
      <w:r w:rsidRPr="00B92499">
        <w:rPr>
          <w:rFonts w:ascii="Arial" w:hAnsi="Arial" w:cs="Arial"/>
        </w:rPr>
        <w:t>por último</w:t>
      </w:r>
      <w:r w:rsidR="0022431F" w:rsidRPr="00B92499">
        <w:rPr>
          <w:rFonts w:ascii="Arial" w:hAnsi="Arial" w:cs="Arial"/>
        </w:rPr>
        <w:t xml:space="preserve">, </w:t>
      </w:r>
      <w:r w:rsidRPr="00B92499">
        <w:rPr>
          <w:rFonts w:ascii="Arial" w:hAnsi="Arial" w:cs="Arial"/>
        </w:rPr>
        <w:t xml:space="preserve">el </w:t>
      </w:r>
      <w:r w:rsidR="0022431F" w:rsidRPr="00B92499">
        <w:rPr>
          <w:rFonts w:ascii="Arial" w:hAnsi="Arial" w:cs="Arial"/>
        </w:rPr>
        <w:t xml:space="preserve">artículo </w:t>
      </w:r>
      <w:r w:rsidRPr="00B92499">
        <w:rPr>
          <w:rFonts w:ascii="Arial" w:hAnsi="Arial" w:cs="Arial"/>
        </w:rPr>
        <w:t>14</w:t>
      </w:r>
      <w:r w:rsidR="0022431F" w:rsidRPr="00B92499">
        <w:rPr>
          <w:rFonts w:ascii="Arial" w:hAnsi="Arial" w:cs="Arial"/>
        </w:rPr>
        <w:t>6</w:t>
      </w:r>
      <w:r w:rsidRPr="00B92499">
        <w:rPr>
          <w:rFonts w:ascii="Arial" w:hAnsi="Arial" w:cs="Arial"/>
        </w:rPr>
        <w:t xml:space="preserve"> </w:t>
      </w:r>
      <w:r w:rsidR="0022431F" w:rsidRPr="00B92499">
        <w:rPr>
          <w:rFonts w:ascii="Arial" w:hAnsi="Arial" w:cs="Arial"/>
        </w:rPr>
        <w:t>alcanzó</w:t>
      </w:r>
      <w:r w:rsidRPr="00B92499">
        <w:rPr>
          <w:rFonts w:ascii="Arial" w:hAnsi="Arial" w:cs="Arial"/>
        </w:rPr>
        <w:t xml:space="preserve"> un ICP de </w:t>
      </w:r>
      <w:r w:rsidR="0022431F" w:rsidRPr="00B92499">
        <w:rPr>
          <w:rFonts w:ascii="Arial" w:hAnsi="Arial" w:cs="Arial"/>
        </w:rPr>
        <w:t>87.17</w:t>
      </w:r>
      <w:r w:rsidRPr="00B92499">
        <w:rPr>
          <w:rFonts w:ascii="Arial" w:hAnsi="Arial" w:cs="Arial"/>
        </w:rPr>
        <w:t xml:space="preserve">%. </w:t>
      </w:r>
    </w:p>
    <w:p w14:paraId="4BD4EDA2" w14:textId="77777777" w:rsidR="001568FE" w:rsidRPr="00B92499" w:rsidRDefault="001568FE" w:rsidP="001568FE">
      <w:pPr>
        <w:spacing w:before="100" w:beforeAutospacing="1" w:after="100" w:afterAutospacing="1" w:line="360" w:lineRule="auto"/>
        <w:contextualSpacing/>
        <w:jc w:val="both"/>
        <w:rPr>
          <w:rFonts w:ascii="Arial" w:hAnsi="Arial" w:cs="Arial"/>
        </w:rPr>
      </w:pPr>
    </w:p>
    <w:p w14:paraId="32AF5778" w14:textId="24417786" w:rsidR="001568FE" w:rsidRPr="00B92499" w:rsidRDefault="001568FE"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respecto de cada uno de los artículos que conforman el índice global, el ICP del artículo 121 está compuesto por </w:t>
      </w:r>
      <w:r w:rsidR="004F1330" w:rsidRPr="00B92499">
        <w:rPr>
          <w:rFonts w:ascii="Arial" w:hAnsi="Arial" w:cs="Arial"/>
        </w:rPr>
        <w:t>1.72%</w:t>
      </w:r>
      <w:r w:rsidRPr="00B92499">
        <w:rPr>
          <w:rFonts w:ascii="Arial" w:hAnsi="Arial" w:cs="Arial"/>
        </w:rPr>
        <w:t xml:space="preserve">% de notas aclaratorias, el ICP del artículo 122 por </w:t>
      </w:r>
      <w:r w:rsidR="004F1330" w:rsidRPr="00B92499">
        <w:rPr>
          <w:rFonts w:ascii="Arial" w:hAnsi="Arial" w:cs="Arial"/>
        </w:rPr>
        <w:t>0.90</w:t>
      </w:r>
      <w:r w:rsidRPr="00B92499">
        <w:rPr>
          <w:rFonts w:ascii="Arial" w:hAnsi="Arial" w:cs="Arial"/>
        </w:rPr>
        <w:t>% de notas, el ICP del artículo 12</w:t>
      </w:r>
      <w:r w:rsidR="004F1330" w:rsidRPr="00B92499">
        <w:rPr>
          <w:rFonts w:ascii="Arial" w:hAnsi="Arial" w:cs="Arial"/>
        </w:rPr>
        <w:t>3</w:t>
      </w:r>
      <w:r w:rsidRPr="00B92499">
        <w:rPr>
          <w:rFonts w:ascii="Arial" w:hAnsi="Arial" w:cs="Arial"/>
        </w:rPr>
        <w:t xml:space="preserve"> por </w:t>
      </w:r>
      <w:r w:rsidR="004F1330" w:rsidRPr="00B92499">
        <w:rPr>
          <w:rFonts w:ascii="Arial" w:hAnsi="Arial" w:cs="Arial"/>
        </w:rPr>
        <w:t>0.28</w:t>
      </w:r>
      <w:r w:rsidRPr="00B92499">
        <w:rPr>
          <w:rFonts w:ascii="Arial" w:hAnsi="Arial" w:cs="Arial"/>
        </w:rPr>
        <w:t xml:space="preserve">% de notas, el ICP del artículo 143 por </w:t>
      </w:r>
      <w:r w:rsidR="004F1330" w:rsidRPr="00B92499">
        <w:rPr>
          <w:rFonts w:ascii="Arial" w:hAnsi="Arial" w:cs="Arial"/>
        </w:rPr>
        <w:t>2.60</w:t>
      </w:r>
      <w:r w:rsidRPr="00B92499">
        <w:rPr>
          <w:rFonts w:ascii="Arial" w:hAnsi="Arial" w:cs="Arial"/>
        </w:rPr>
        <w:t>% de notas, y los ICP de los artículos 145</w:t>
      </w:r>
      <w:r w:rsidR="004F1330" w:rsidRPr="00B92499">
        <w:rPr>
          <w:rFonts w:ascii="Arial" w:hAnsi="Arial" w:cs="Arial"/>
        </w:rPr>
        <w:t>,</w:t>
      </w:r>
      <w:r w:rsidRPr="00B92499">
        <w:rPr>
          <w:rFonts w:ascii="Arial" w:hAnsi="Arial" w:cs="Arial"/>
        </w:rPr>
        <w:t xml:space="preserve"> 14</w:t>
      </w:r>
      <w:r w:rsidR="004F1330" w:rsidRPr="00B92499">
        <w:rPr>
          <w:rFonts w:ascii="Arial" w:hAnsi="Arial" w:cs="Arial"/>
        </w:rPr>
        <w:t>6 y 147</w:t>
      </w:r>
      <w:r w:rsidRPr="00B92499">
        <w:rPr>
          <w:rFonts w:ascii="Arial" w:hAnsi="Arial" w:cs="Arial"/>
        </w:rPr>
        <w:t xml:space="preserve"> no tuvieron cambio alguno, debido a que no fueron utilizadas notas aclaratorias.  </w:t>
      </w:r>
    </w:p>
    <w:p w14:paraId="00AC0400" w14:textId="77777777" w:rsidR="00CF7EED" w:rsidRPr="00B92499" w:rsidRDefault="00CF7EED" w:rsidP="002E7D47">
      <w:pPr>
        <w:spacing w:before="100" w:beforeAutospacing="1" w:after="100" w:afterAutospacing="1" w:line="360" w:lineRule="auto"/>
        <w:contextualSpacing/>
        <w:jc w:val="both"/>
        <w:rPr>
          <w:rFonts w:ascii="Arial" w:hAnsi="Arial" w:cs="Arial"/>
        </w:rPr>
      </w:pPr>
    </w:p>
    <w:p w14:paraId="02D930E3" w14:textId="7E93204D" w:rsidR="00CF7EED" w:rsidRPr="00B92499" w:rsidRDefault="00940CBA" w:rsidP="009F64B5">
      <w:pPr>
        <w:pStyle w:val="Ttulo3"/>
        <w:numPr>
          <w:ilvl w:val="2"/>
          <w:numId w:val="7"/>
        </w:numPr>
        <w:contextualSpacing/>
        <w:jc w:val="both"/>
        <w:rPr>
          <w:rFonts w:ascii="Arial" w:hAnsi="Arial" w:cs="Arial"/>
          <w:b/>
          <w:color w:val="auto"/>
        </w:rPr>
      </w:pPr>
      <w:bookmarkStart w:id="12" w:name="_Toc23252970"/>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121 y sus respectivas fracciones</w:t>
      </w:r>
      <w:bookmarkEnd w:id="12"/>
    </w:p>
    <w:p w14:paraId="67F9A0BA" w14:textId="6E97F189" w:rsidR="00CF7EED" w:rsidRPr="00B92499" w:rsidRDefault="00CF7EED" w:rsidP="00CF7EED">
      <w:pPr>
        <w:rPr>
          <w:lang w:eastAsia="en-US"/>
        </w:rPr>
      </w:pPr>
    </w:p>
    <w:p w14:paraId="5619F92C" w14:textId="77777777" w:rsidR="00CF7EED" w:rsidRPr="00B92499" w:rsidRDefault="00CF7EED" w:rsidP="00CF7EED">
      <w:pPr>
        <w:rPr>
          <w:lang w:eastAsia="en-US"/>
        </w:rPr>
      </w:pPr>
    </w:p>
    <w:p w14:paraId="20CE6C54" w14:textId="7A4DD3B7" w:rsidR="00CF7EED" w:rsidRPr="00B92499" w:rsidRDefault="00CF7EED" w:rsidP="00CF7EED">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de la Administración Central obtuvieron un ICP en este artículo de 96.31%; por lo que se encuentra dentro del área de cumplimiento parcial.</w:t>
      </w:r>
      <w:r w:rsidR="000D67A7" w:rsidRPr="00B92499">
        <w:rPr>
          <w:rFonts w:ascii="Arial" w:hAnsi="Arial" w:cs="Arial"/>
        </w:rPr>
        <w:t xml:space="preserve"> 4 </w:t>
      </w:r>
      <w:r w:rsidR="00C576D2" w:rsidRPr="00B92499">
        <w:rPr>
          <w:rFonts w:ascii="Arial" w:hAnsi="Arial" w:cs="Arial"/>
        </w:rPr>
        <w:t xml:space="preserve">Secretarías </w:t>
      </w:r>
      <w:r w:rsidR="00012719" w:rsidRPr="00B92499">
        <w:rPr>
          <w:rFonts w:ascii="Arial" w:hAnsi="Arial" w:cs="Arial"/>
        </w:rPr>
        <w:t>obtuvieron un cumplimiento total y</w:t>
      </w:r>
      <w:r w:rsidR="000D67A7" w:rsidRPr="00B92499">
        <w:rPr>
          <w:rFonts w:ascii="Arial" w:hAnsi="Arial" w:cs="Arial"/>
        </w:rPr>
        <w:t xml:space="preserve"> 4 </w:t>
      </w:r>
      <w:r w:rsidR="00012719" w:rsidRPr="00B92499">
        <w:rPr>
          <w:rFonts w:ascii="Arial" w:hAnsi="Arial" w:cs="Arial"/>
        </w:rPr>
        <w:t xml:space="preserve">un cumplimiento parcial entre 87.30% y 98.78%. </w:t>
      </w:r>
      <w:r w:rsidRPr="00B92499">
        <w:rPr>
          <w:rFonts w:ascii="Arial" w:hAnsi="Arial" w:cs="Arial"/>
        </w:rPr>
        <w:t>Las</w:t>
      </w:r>
      <w:r w:rsidR="009F734B" w:rsidRPr="00B92499">
        <w:rPr>
          <w:rFonts w:ascii="Arial" w:hAnsi="Arial" w:cs="Arial"/>
        </w:rPr>
        <w:t xml:space="preserve"> </w:t>
      </w:r>
      <w:r w:rsidR="000D67A7" w:rsidRPr="00B92499">
        <w:rPr>
          <w:rFonts w:ascii="Arial" w:hAnsi="Arial" w:cs="Arial"/>
        </w:rPr>
        <w:t>5</w:t>
      </w:r>
      <w:r w:rsidR="00012719" w:rsidRPr="00B92499">
        <w:rPr>
          <w:rFonts w:ascii="Arial" w:hAnsi="Arial" w:cs="Arial"/>
        </w:rPr>
        <w:t xml:space="preserve"> </w:t>
      </w:r>
      <w:r w:rsidRPr="00B92499">
        <w:rPr>
          <w:rFonts w:ascii="Arial" w:hAnsi="Arial" w:cs="Arial"/>
        </w:rPr>
        <w:t xml:space="preserve">fracciones con mayor área de oportunidad, ya que se colocaron en un cumplimiento parcial entre </w:t>
      </w:r>
      <w:r w:rsidR="00012719" w:rsidRPr="00B92499">
        <w:rPr>
          <w:rFonts w:ascii="Arial" w:hAnsi="Arial" w:cs="Arial"/>
        </w:rPr>
        <w:t>89.36</w:t>
      </w:r>
      <w:r w:rsidRPr="00B92499">
        <w:rPr>
          <w:rFonts w:ascii="Arial" w:hAnsi="Arial" w:cs="Arial"/>
        </w:rPr>
        <w:t xml:space="preserve">% y </w:t>
      </w:r>
      <w:r w:rsidR="00012719" w:rsidRPr="00B92499">
        <w:rPr>
          <w:rFonts w:ascii="Arial" w:hAnsi="Arial" w:cs="Arial"/>
        </w:rPr>
        <w:t>90.49</w:t>
      </w:r>
      <w:r w:rsidRPr="00B92499">
        <w:rPr>
          <w:rFonts w:ascii="Arial" w:hAnsi="Arial" w:cs="Arial"/>
        </w:rPr>
        <w:t xml:space="preserve">%, son las siguientes: </w:t>
      </w:r>
    </w:p>
    <w:p w14:paraId="30F69CF6" w14:textId="5BB51540" w:rsidR="00012719" w:rsidRPr="00B92499" w:rsidRDefault="00012719"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XXIX, con un ICP de 89.36</w:t>
      </w:r>
      <w:r w:rsidR="00245B50" w:rsidRPr="00B92499">
        <w:rPr>
          <w:rFonts w:ascii="Arial" w:hAnsi="Arial" w:cs="Arial"/>
          <w:sz w:val="24"/>
          <w:szCs w:val="24"/>
          <w:lang w:val="es-ES_tradnl"/>
        </w:rPr>
        <w:t>%</w:t>
      </w:r>
      <w:r w:rsidRPr="00B92499">
        <w:rPr>
          <w:rFonts w:ascii="Arial" w:hAnsi="Arial" w:cs="Arial"/>
          <w:sz w:val="24"/>
          <w:szCs w:val="24"/>
          <w:lang w:val="es-ES_tradnl"/>
        </w:rPr>
        <w:t xml:space="preserve"> en la cual se mandata la publicación de concesiones, contratos, convenios, permisos, licencias o autorizaciones otorgadas. </w:t>
      </w:r>
      <w:r w:rsidR="00C576D2" w:rsidRPr="00B92499">
        <w:rPr>
          <w:rFonts w:ascii="Arial" w:hAnsi="Arial" w:cs="Arial"/>
          <w:sz w:val="24"/>
          <w:szCs w:val="24"/>
          <w:lang w:val="es-ES_tradnl"/>
        </w:rPr>
        <w:t>El área de oportunidad de las Secretarías respecto de esta fracción es publicar toda la normatividad que les es aplicable, debido a que está incompleta.</w:t>
      </w:r>
    </w:p>
    <w:p w14:paraId="1509F98B" w14:textId="28ED20D0" w:rsidR="00012719" w:rsidRPr="00B92499" w:rsidRDefault="00012719"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I, con un ICP de 90.49% en la cual se mandata la publicación del marco normativo. El área de oportunidad de las Secretarías respecto de esta fracción </w:t>
      </w:r>
      <w:r w:rsidR="00995E8A" w:rsidRPr="00B92499">
        <w:rPr>
          <w:rFonts w:ascii="Arial" w:hAnsi="Arial" w:cs="Arial"/>
          <w:sz w:val="24"/>
          <w:szCs w:val="24"/>
          <w:lang w:val="es-ES_tradnl"/>
        </w:rPr>
        <w:t xml:space="preserve">es publicar toda la normatividad que les es aplicable, debido a que está incompleta. </w:t>
      </w:r>
    </w:p>
    <w:p w14:paraId="1DC4127B" w14:textId="4CFD2B31" w:rsidR="00012719" w:rsidRPr="00B92499" w:rsidRDefault="00012719"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XLIII, con un ICP de 92.78</w:t>
      </w:r>
      <w:r w:rsidR="00245B50" w:rsidRPr="00B92499">
        <w:rPr>
          <w:rFonts w:ascii="Arial" w:hAnsi="Arial" w:cs="Arial"/>
          <w:sz w:val="24"/>
          <w:szCs w:val="24"/>
          <w:lang w:val="es-ES_tradnl"/>
        </w:rPr>
        <w:t>%</w:t>
      </w:r>
      <w:r w:rsidRPr="00B92499">
        <w:rPr>
          <w:rFonts w:ascii="Arial" w:hAnsi="Arial" w:cs="Arial"/>
          <w:sz w:val="24"/>
          <w:szCs w:val="24"/>
          <w:lang w:val="es-ES_tradnl"/>
        </w:rPr>
        <w:t xml:space="preserve"> en la que se mandata la publicación de las actas de resoluciones del Comité de Transparencia. El área de oportunidad de las Secretarías respecto de esta fracción es</w:t>
      </w:r>
      <w:r w:rsidR="00995E8A" w:rsidRPr="00B92499">
        <w:rPr>
          <w:rFonts w:ascii="Arial" w:hAnsi="Arial" w:cs="Arial"/>
          <w:sz w:val="24"/>
          <w:szCs w:val="24"/>
          <w:lang w:val="es-ES_tradnl"/>
        </w:rPr>
        <w:t xml:space="preserve"> publicar la información en los formatos correspondientes.</w:t>
      </w:r>
    </w:p>
    <w:p w14:paraId="6FEC1136" w14:textId="6960E494" w:rsidR="00012719" w:rsidRPr="00B92499" w:rsidRDefault="00012719"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IV, con un ICP de 93.01</w:t>
      </w:r>
      <w:r w:rsidR="00245B50" w:rsidRPr="00B92499">
        <w:rPr>
          <w:rFonts w:ascii="Arial" w:hAnsi="Arial" w:cs="Arial"/>
          <w:sz w:val="24"/>
          <w:szCs w:val="24"/>
          <w:lang w:val="es-ES_tradnl"/>
        </w:rPr>
        <w:t>%</w:t>
      </w:r>
      <w:r w:rsidRPr="00B92499">
        <w:rPr>
          <w:rFonts w:ascii="Arial" w:hAnsi="Arial" w:cs="Arial"/>
          <w:sz w:val="24"/>
          <w:szCs w:val="24"/>
          <w:lang w:val="es-ES_tradnl"/>
        </w:rPr>
        <w:t xml:space="preserve"> en</w:t>
      </w:r>
      <w:r w:rsidR="00C576D2" w:rsidRPr="00B92499">
        <w:rPr>
          <w:rFonts w:ascii="Arial" w:hAnsi="Arial" w:cs="Arial"/>
          <w:sz w:val="24"/>
          <w:szCs w:val="24"/>
          <w:lang w:val="es-ES_tradnl"/>
        </w:rPr>
        <w:t xml:space="preserve"> la que</w:t>
      </w:r>
      <w:r w:rsidRPr="00B92499">
        <w:rPr>
          <w:rFonts w:ascii="Arial" w:hAnsi="Arial" w:cs="Arial"/>
          <w:sz w:val="24"/>
          <w:szCs w:val="24"/>
          <w:lang w:val="es-ES_tradnl"/>
        </w:rPr>
        <w:t xml:space="preserve"> es señalad</w:t>
      </w:r>
      <w:r w:rsidR="00C576D2" w:rsidRPr="00B92499">
        <w:rPr>
          <w:rFonts w:ascii="Arial" w:hAnsi="Arial" w:cs="Arial"/>
          <w:sz w:val="24"/>
          <w:szCs w:val="24"/>
          <w:lang w:val="es-ES_tradnl"/>
        </w:rPr>
        <w:t>a</w:t>
      </w:r>
      <w:r w:rsidRPr="00B92499">
        <w:rPr>
          <w:rFonts w:ascii="Arial" w:hAnsi="Arial" w:cs="Arial"/>
          <w:sz w:val="24"/>
          <w:szCs w:val="24"/>
          <w:lang w:val="es-ES_tradnl"/>
        </w:rPr>
        <w:t xml:space="preserve"> la necesidad de publicar las m</w:t>
      </w:r>
      <w:r w:rsidR="00C576D2" w:rsidRPr="00B92499">
        <w:rPr>
          <w:rFonts w:ascii="Arial" w:hAnsi="Arial" w:cs="Arial"/>
          <w:sz w:val="24"/>
          <w:szCs w:val="24"/>
          <w:lang w:val="es-ES_tradnl"/>
        </w:rPr>
        <w:t>e</w:t>
      </w:r>
      <w:r w:rsidR="00604DE7" w:rsidRPr="00B92499">
        <w:rPr>
          <w:rFonts w:ascii="Arial" w:hAnsi="Arial" w:cs="Arial"/>
          <w:sz w:val="24"/>
          <w:szCs w:val="24"/>
          <w:lang w:val="es-ES_tradnl"/>
        </w:rPr>
        <w:t>tas y objetivos de las unidades administrativas</w:t>
      </w:r>
      <w:r w:rsidRPr="00B92499">
        <w:rPr>
          <w:rFonts w:ascii="Arial" w:hAnsi="Arial" w:cs="Arial"/>
          <w:sz w:val="24"/>
          <w:szCs w:val="24"/>
          <w:lang w:val="es-ES_tradnl"/>
        </w:rPr>
        <w:t xml:space="preserve">. El área de oportunidad de las Secretarías respecto de esta fracción </w:t>
      </w:r>
      <w:r w:rsidR="00995E8A" w:rsidRPr="00B92499">
        <w:rPr>
          <w:rFonts w:ascii="Arial" w:hAnsi="Arial" w:cs="Arial"/>
          <w:sz w:val="24"/>
          <w:szCs w:val="24"/>
          <w:lang w:val="es-ES_tradnl"/>
        </w:rPr>
        <w:t xml:space="preserve">consiste en homologar lo que se publica en la PNT y en los Portales Institucionales, debido a que existe incongruencia en la información. </w:t>
      </w:r>
    </w:p>
    <w:p w14:paraId="11E759C3" w14:textId="28CB8F31" w:rsidR="00012719" w:rsidRPr="00B92499" w:rsidRDefault="00CF7EED"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LII, con un ICP de </w:t>
      </w:r>
      <w:r w:rsidR="00012719" w:rsidRPr="00B92499">
        <w:rPr>
          <w:rFonts w:ascii="Arial" w:hAnsi="Arial" w:cs="Arial"/>
          <w:sz w:val="24"/>
          <w:szCs w:val="24"/>
          <w:lang w:val="es-ES_tradnl"/>
        </w:rPr>
        <w:t>93.10</w:t>
      </w:r>
      <w:r w:rsidRPr="00B92499">
        <w:rPr>
          <w:rFonts w:ascii="Arial" w:hAnsi="Arial" w:cs="Arial"/>
          <w:sz w:val="24"/>
          <w:szCs w:val="24"/>
          <w:lang w:val="es-ES_tradnl"/>
        </w:rPr>
        <w:t xml:space="preserve">% en la cual se mandata la publicación de </w:t>
      </w:r>
      <w:r w:rsidRPr="00B92499">
        <w:rPr>
          <w:rFonts w:ascii="Arial" w:hAnsi="Arial" w:cs="Arial"/>
          <w:color w:val="000000"/>
          <w:sz w:val="24"/>
          <w:szCs w:val="24"/>
          <w:lang w:val="es-ES_tradnl"/>
        </w:rPr>
        <w:t xml:space="preserve">cualquier otra información que sea de utilidad o se considere relevante. </w:t>
      </w:r>
      <w:r w:rsidRPr="00B92499">
        <w:rPr>
          <w:rFonts w:ascii="Arial" w:hAnsi="Arial" w:cs="Arial"/>
          <w:sz w:val="24"/>
          <w:szCs w:val="24"/>
          <w:lang w:val="es-ES_tradnl"/>
        </w:rPr>
        <w:t xml:space="preserve">El área de oportunidad de </w:t>
      </w:r>
      <w:r w:rsidR="00012719" w:rsidRPr="00B92499">
        <w:rPr>
          <w:rFonts w:ascii="Arial" w:hAnsi="Arial" w:cs="Arial"/>
          <w:sz w:val="24"/>
          <w:szCs w:val="24"/>
          <w:lang w:val="es-ES_tradnl"/>
        </w:rPr>
        <w:t>las Secretarías</w:t>
      </w:r>
      <w:r w:rsidRPr="00B92499">
        <w:rPr>
          <w:rFonts w:ascii="Arial" w:hAnsi="Arial" w:cs="Arial"/>
          <w:sz w:val="24"/>
          <w:szCs w:val="24"/>
          <w:lang w:val="es-ES_tradnl"/>
        </w:rPr>
        <w:t xml:space="preserve"> respecto de esta fracción es</w:t>
      </w:r>
      <w:r w:rsidR="003C285F" w:rsidRPr="00B92499">
        <w:rPr>
          <w:rFonts w:ascii="Arial" w:hAnsi="Arial" w:cs="Arial"/>
          <w:sz w:val="24"/>
          <w:szCs w:val="24"/>
          <w:lang w:val="es-ES_tradnl"/>
        </w:rPr>
        <w:t xml:space="preserve"> publicar y actualizar la información o en el caso de no generar la misma, fundar y motivar la no generación a través de una nota.</w:t>
      </w:r>
    </w:p>
    <w:p w14:paraId="0CBCDEA5" w14:textId="0317BD2D" w:rsidR="00CF7EED" w:rsidRPr="00B92499" w:rsidRDefault="00CF7EED" w:rsidP="00CF7EED">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las </w:t>
      </w:r>
      <w:r w:rsidR="000D67A7" w:rsidRPr="00B92499">
        <w:rPr>
          <w:rFonts w:ascii="Arial" w:hAnsi="Arial" w:cs="Arial"/>
        </w:rPr>
        <w:t xml:space="preserve">5 </w:t>
      </w:r>
      <w:r w:rsidRPr="00B92499">
        <w:rPr>
          <w:rFonts w:ascii="Arial" w:hAnsi="Arial" w:cs="Arial"/>
        </w:rPr>
        <w:t xml:space="preserve">fracciones con un ICP de </w:t>
      </w:r>
      <w:r w:rsidR="00BB78B7" w:rsidRPr="00B92499">
        <w:rPr>
          <w:rFonts w:ascii="Arial" w:hAnsi="Arial" w:cs="Arial"/>
        </w:rPr>
        <w:t>100</w:t>
      </w:r>
      <w:r w:rsidRPr="00B92499">
        <w:rPr>
          <w:rFonts w:ascii="Arial" w:hAnsi="Arial" w:cs="Arial"/>
        </w:rPr>
        <w:t>% son las que se detallan a continuación:</w:t>
      </w:r>
    </w:p>
    <w:p w14:paraId="44B61405" w14:textId="21F19CC4" w:rsidR="00CF7EED" w:rsidRPr="00B92499" w:rsidRDefault="00CF7EED" w:rsidP="00CF7EED">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BB78B7" w:rsidRPr="00B92499">
        <w:rPr>
          <w:rFonts w:ascii="Arial" w:hAnsi="Arial" w:cs="Arial"/>
          <w:sz w:val="24"/>
          <w:szCs w:val="24"/>
          <w:lang w:val="es-ES_tradnl"/>
        </w:rPr>
        <w:t>VIII</w:t>
      </w:r>
      <w:r w:rsidRPr="00B92499">
        <w:rPr>
          <w:rFonts w:ascii="Arial" w:hAnsi="Arial" w:cs="Arial"/>
          <w:sz w:val="24"/>
          <w:szCs w:val="24"/>
          <w:lang w:val="es-ES_tradnl"/>
        </w:rPr>
        <w:t>, en la cual se mandata la publicación</w:t>
      </w:r>
      <w:r w:rsidR="00BB78B7" w:rsidRPr="00B92499">
        <w:rPr>
          <w:rFonts w:ascii="Arial" w:hAnsi="Arial" w:cs="Arial"/>
          <w:sz w:val="24"/>
          <w:szCs w:val="24"/>
          <w:lang w:val="es-ES_tradnl"/>
        </w:rPr>
        <w:t xml:space="preserve"> del directorio de las áreas del </w:t>
      </w:r>
      <w:r w:rsidR="008710F6" w:rsidRPr="00B92499">
        <w:rPr>
          <w:rFonts w:ascii="Arial" w:hAnsi="Arial" w:cs="Arial"/>
          <w:sz w:val="24"/>
          <w:szCs w:val="24"/>
          <w:lang w:val="es-ES_tradnl"/>
        </w:rPr>
        <w:t>sujeto obligado</w:t>
      </w:r>
      <w:r w:rsidR="00BB78B7" w:rsidRPr="00B92499">
        <w:rPr>
          <w:rFonts w:ascii="Arial" w:hAnsi="Arial" w:cs="Arial"/>
          <w:sz w:val="24"/>
          <w:szCs w:val="24"/>
          <w:lang w:val="es-ES_tradnl"/>
        </w:rPr>
        <w:t>.</w:t>
      </w:r>
    </w:p>
    <w:p w14:paraId="182AD781" w14:textId="537DCC95" w:rsidR="00CF7EED" w:rsidRPr="00B92499" w:rsidRDefault="00CF7EED" w:rsidP="00CF7EED">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w:t>
      </w:r>
      <w:r w:rsidR="00BB78B7" w:rsidRPr="00B92499">
        <w:rPr>
          <w:rFonts w:ascii="Arial" w:hAnsi="Arial" w:cs="Arial"/>
          <w:sz w:val="24"/>
          <w:szCs w:val="24"/>
          <w:lang w:val="es-ES_tradnl"/>
        </w:rPr>
        <w:t>VI</w:t>
      </w:r>
      <w:r w:rsidRPr="00B92499">
        <w:rPr>
          <w:rFonts w:ascii="Arial" w:hAnsi="Arial" w:cs="Arial"/>
          <w:sz w:val="24"/>
          <w:szCs w:val="24"/>
          <w:lang w:val="es-ES_tradnl"/>
        </w:rPr>
        <w:t xml:space="preserve">, </w:t>
      </w:r>
      <w:r w:rsidR="00BB78B7" w:rsidRPr="00B92499">
        <w:rPr>
          <w:rFonts w:ascii="Arial" w:hAnsi="Arial" w:cs="Arial"/>
          <w:sz w:val="24"/>
          <w:szCs w:val="24"/>
          <w:lang w:val="es-ES_tradnl"/>
        </w:rPr>
        <w:t>en la cual es señalada la obligación de publicar las condiciones generales de trabajo, contratos y convenios que regulen la relación laboral; así como recursos otorgados a sindicatos.</w:t>
      </w:r>
    </w:p>
    <w:p w14:paraId="3E9A364C" w14:textId="7C221556" w:rsidR="00CF7EED" w:rsidRPr="00B92499" w:rsidRDefault="00CF7EED" w:rsidP="00CF7EED">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BB78B7" w:rsidRPr="00B92499">
        <w:rPr>
          <w:rFonts w:ascii="Arial" w:hAnsi="Arial" w:cs="Arial"/>
          <w:sz w:val="24"/>
          <w:szCs w:val="24"/>
          <w:lang w:val="es-ES_tradnl"/>
        </w:rPr>
        <w:t>XLII</w:t>
      </w:r>
      <w:r w:rsidRPr="00B92499">
        <w:rPr>
          <w:rFonts w:ascii="Arial" w:hAnsi="Arial" w:cs="Arial"/>
          <w:sz w:val="24"/>
          <w:szCs w:val="24"/>
          <w:lang w:val="es-ES_tradnl"/>
        </w:rPr>
        <w:t xml:space="preserve">, en la cual se mandata la publicación </w:t>
      </w:r>
      <w:r w:rsidR="00BB78B7" w:rsidRPr="00B92499">
        <w:rPr>
          <w:rFonts w:ascii="Arial" w:hAnsi="Arial" w:cs="Arial"/>
          <w:sz w:val="24"/>
          <w:szCs w:val="24"/>
          <w:lang w:val="es-ES_tradnl"/>
        </w:rPr>
        <w:t xml:space="preserve">de la información relacionada con los programas y centros destinados a la práctica de actividad física, ejercicio y deporte. </w:t>
      </w:r>
    </w:p>
    <w:p w14:paraId="3D21D18F" w14:textId="4299875E" w:rsidR="00CF7EED" w:rsidRPr="00B92499" w:rsidRDefault="00CF7EED" w:rsidP="00CF7EED">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LI, en la cual es señalada la obligación de publicar un listado de solicitudes a las empresas concesionarias de telecomunicaciones y </w:t>
      </w:r>
      <w:r w:rsidRPr="00B92499">
        <w:rPr>
          <w:rFonts w:ascii="Arial" w:hAnsi="Arial" w:cs="Arial"/>
          <w:sz w:val="24"/>
          <w:szCs w:val="24"/>
          <w:lang w:val="es-ES_tradnl"/>
        </w:rPr>
        <w:lastRenderedPageBreak/>
        <w:t>proveedoras de servicios de internet para la intervención de comunicaciones y la geolocalización.</w:t>
      </w:r>
    </w:p>
    <w:p w14:paraId="55712D85" w14:textId="7594AAA9" w:rsidR="00CF7EED" w:rsidRPr="00B92499" w:rsidRDefault="00CF7EED" w:rsidP="00CF7EED">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BB78B7" w:rsidRPr="00B92499">
        <w:rPr>
          <w:rFonts w:ascii="Arial" w:hAnsi="Arial" w:cs="Arial"/>
          <w:sz w:val="24"/>
          <w:szCs w:val="24"/>
          <w:lang w:val="es-ES_tradnl"/>
        </w:rPr>
        <w:t>XXXIX</w:t>
      </w:r>
      <w:r w:rsidRPr="00B92499">
        <w:rPr>
          <w:rFonts w:ascii="Arial" w:hAnsi="Arial" w:cs="Arial"/>
          <w:sz w:val="24"/>
          <w:szCs w:val="24"/>
          <w:lang w:val="es-ES_tradnl"/>
        </w:rPr>
        <w:t xml:space="preserve">, en la cual se mandata la publicación </w:t>
      </w:r>
      <w:r w:rsidR="00BB78B7" w:rsidRPr="00B92499">
        <w:rPr>
          <w:rFonts w:ascii="Arial" w:hAnsi="Arial" w:cs="Arial"/>
          <w:sz w:val="24"/>
          <w:szCs w:val="24"/>
          <w:lang w:val="es-ES_tradnl"/>
        </w:rPr>
        <w:t>de las resoluciones y laudos que se emitan en procesos seguidos en forma de juicio</w:t>
      </w:r>
      <w:r w:rsidR="00846BF4" w:rsidRPr="00B92499">
        <w:rPr>
          <w:rFonts w:ascii="Arial" w:hAnsi="Arial" w:cs="Arial"/>
          <w:sz w:val="24"/>
          <w:szCs w:val="24"/>
          <w:lang w:val="es-ES_tradnl"/>
        </w:rPr>
        <w:t>.</w:t>
      </w:r>
      <w:r w:rsidRPr="00B92499">
        <w:rPr>
          <w:rFonts w:ascii="Arial" w:hAnsi="Arial" w:cs="Arial"/>
          <w:sz w:val="24"/>
          <w:szCs w:val="24"/>
          <w:lang w:val="es-ES_tradnl"/>
        </w:rPr>
        <w:t xml:space="preserve"> </w:t>
      </w:r>
    </w:p>
    <w:p w14:paraId="71EC2799" w14:textId="77777777" w:rsidR="00CF7EED" w:rsidRPr="00B92499" w:rsidRDefault="00CF7EED" w:rsidP="00CF7EED">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121 es presentada la siguiente tabla ordenada de forma descendente.</w:t>
      </w:r>
    </w:p>
    <w:tbl>
      <w:tblPr>
        <w:tblW w:w="8927" w:type="dxa"/>
        <w:tblCellMar>
          <w:left w:w="70" w:type="dxa"/>
          <w:right w:w="70" w:type="dxa"/>
        </w:tblCellMar>
        <w:tblLook w:val="04A0" w:firstRow="1" w:lastRow="0" w:firstColumn="1" w:lastColumn="0" w:noHBand="0" w:noVBand="1"/>
      </w:tblPr>
      <w:tblGrid>
        <w:gridCol w:w="974"/>
        <w:gridCol w:w="7218"/>
        <w:gridCol w:w="735"/>
      </w:tblGrid>
      <w:tr w:rsidR="00CF7EED" w:rsidRPr="00B92499" w14:paraId="2D34AFE1" w14:textId="77777777" w:rsidTr="00BB78B7">
        <w:trPr>
          <w:trHeight w:val="20"/>
          <w:tblHeader/>
        </w:trPr>
        <w:tc>
          <w:tcPr>
            <w:tcW w:w="8927"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BB80216" w14:textId="44DB2BC5" w:rsidR="00CF7EED" w:rsidRPr="00B92499" w:rsidRDefault="00CF7EED" w:rsidP="00BF7A5D">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CF7EED" w:rsidRPr="00B92499" w14:paraId="19935270" w14:textId="77777777" w:rsidTr="00BB78B7">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594C12D1" w14:textId="77777777" w:rsidR="00CF7EED" w:rsidRPr="00B92499" w:rsidRDefault="00CF7EED" w:rsidP="00BF7A5D">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567AD216" w14:textId="77777777" w:rsidR="00CF7EED" w:rsidRPr="00B92499" w:rsidRDefault="00CF7EED" w:rsidP="00BF7A5D">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823" w:type="dxa"/>
            <w:tcBorders>
              <w:top w:val="nil"/>
              <w:left w:val="nil"/>
              <w:bottom w:val="single" w:sz="4" w:space="0" w:color="auto"/>
              <w:right w:val="single" w:sz="4" w:space="0" w:color="auto"/>
            </w:tcBorders>
            <w:shd w:val="clear" w:color="auto" w:fill="00B0F0"/>
            <w:vAlign w:val="center"/>
            <w:hideMark/>
          </w:tcPr>
          <w:p w14:paraId="40DA80FD" w14:textId="77777777" w:rsidR="00CF7EED" w:rsidRPr="00B92499" w:rsidRDefault="00CF7EED" w:rsidP="00BF7A5D">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BB78B7" w:rsidRPr="00B92499" w14:paraId="0B7D8BB5"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DCFCF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37E1B83F"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Directorio del área.</w:t>
            </w:r>
          </w:p>
        </w:tc>
        <w:tc>
          <w:tcPr>
            <w:tcW w:w="823" w:type="dxa"/>
            <w:tcBorders>
              <w:top w:val="nil"/>
              <w:left w:val="nil"/>
              <w:bottom w:val="single" w:sz="4" w:space="0" w:color="auto"/>
              <w:right w:val="single" w:sz="4" w:space="0" w:color="auto"/>
            </w:tcBorders>
            <w:shd w:val="clear" w:color="auto" w:fill="auto"/>
            <w:vAlign w:val="center"/>
            <w:hideMark/>
          </w:tcPr>
          <w:p w14:paraId="69660FEB" w14:textId="6778F0EC" w:rsidR="00BB78B7" w:rsidRPr="00B92499" w:rsidRDefault="00BB78B7" w:rsidP="001075D0">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BB78B7" w:rsidRPr="00B92499" w14:paraId="4A9319AF"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65505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4BC89657"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Condiciones generales de trabajo, contratos y convenios que regulen la relación laboral, recursos otorgados a sindicatos.</w:t>
            </w:r>
          </w:p>
        </w:tc>
        <w:tc>
          <w:tcPr>
            <w:tcW w:w="823" w:type="dxa"/>
            <w:tcBorders>
              <w:top w:val="nil"/>
              <w:left w:val="nil"/>
              <w:bottom w:val="single" w:sz="4" w:space="0" w:color="auto"/>
              <w:right w:val="single" w:sz="4" w:space="0" w:color="auto"/>
            </w:tcBorders>
            <w:shd w:val="clear" w:color="auto" w:fill="auto"/>
            <w:vAlign w:val="center"/>
            <w:hideMark/>
          </w:tcPr>
          <w:p w14:paraId="693C54EE" w14:textId="40C3C880" w:rsidR="00BB78B7" w:rsidRPr="00B92499" w:rsidRDefault="00BB78B7" w:rsidP="001075D0">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BB78B7" w:rsidRPr="00B92499" w14:paraId="14983E2C"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4D25A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XLII</w:t>
            </w:r>
          </w:p>
        </w:tc>
        <w:tc>
          <w:tcPr>
            <w:tcW w:w="0" w:type="auto"/>
            <w:tcBorders>
              <w:top w:val="nil"/>
              <w:left w:val="nil"/>
              <w:bottom w:val="single" w:sz="4" w:space="0" w:color="auto"/>
              <w:right w:val="single" w:sz="4" w:space="0" w:color="auto"/>
            </w:tcBorders>
            <w:shd w:val="clear" w:color="auto" w:fill="auto"/>
            <w:vAlign w:val="center"/>
            <w:hideMark/>
          </w:tcPr>
          <w:p w14:paraId="12A9E0F8" w14:textId="495A1140"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Información relacionada con los programas y centros destinados a la práctica de actividad física, </w:t>
            </w:r>
            <w:r w:rsidR="00516722" w:rsidRPr="00B92499">
              <w:rPr>
                <w:rFonts w:ascii="Arial" w:hAnsi="Arial" w:cs="Arial"/>
                <w:color w:val="000000"/>
                <w:sz w:val="20"/>
                <w:szCs w:val="20"/>
              </w:rPr>
              <w:t>ejercicio</w:t>
            </w:r>
            <w:r w:rsidRPr="00B92499">
              <w:rPr>
                <w:rFonts w:ascii="Arial" w:hAnsi="Arial" w:cs="Arial"/>
                <w:color w:val="000000"/>
                <w:sz w:val="20"/>
                <w:szCs w:val="20"/>
              </w:rPr>
              <w:t xml:space="preserve"> y deporte. </w:t>
            </w:r>
          </w:p>
        </w:tc>
        <w:tc>
          <w:tcPr>
            <w:tcW w:w="823" w:type="dxa"/>
            <w:tcBorders>
              <w:top w:val="nil"/>
              <w:left w:val="nil"/>
              <w:bottom w:val="single" w:sz="4" w:space="0" w:color="auto"/>
              <w:right w:val="single" w:sz="4" w:space="0" w:color="auto"/>
            </w:tcBorders>
            <w:shd w:val="clear" w:color="auto" w:fill="auto"/>
            <w:vAlign w:val="center"/>
            <w:hideMark/>
          </w:tcPr>
          <w:p w14:paraId="1A283C26" w14:textId="105FA82F" w:rsidR="00BB78B7" w:rsidRPr="00B92499" w:rsidRDefault="00BB78B7" w:rsidP="001075D0">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BB78B7" w:rsidRPr="00B92499" w14:paraId="2D7935F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95D29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LI</w:t>
            </w:r>
          </w:p>
        </w:tc>
        <w:tc>
          <w:tcPr>
            <w:tcW w:w="0" w:type="auto"/>
            <w:tcBorders>
              <w:top w:val="nil"/>
              <w:left w:val="nil"/>
              <w:bottom w:val="single" w:sz="4" w:space="0" w:color="auto"/>
              <w:right w:val="single" w:sz="4" w:space="0" w:color="auto"/>
            </w:tcBorders>
            <w:shd w:val="clear" w:color="auto" w:fill="auto"/>
            <w:vAlign w:val="center"/>
            <w:hideMark/>
          </w:tcPr>
          <w:p w14:paraId="21BC8B9A"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Listado de solicitudes a las empresas concesionarias de telecomunicaciones y proveedores de servicios de internet para la intervención de comunicaciones y la geolocalización. </w:t>
            </w:r>
          </w:p>
        </w:tc>
        <w:tc>
          <w:tcPr>
            <w:tcW w:w="823" w:type="dxa"/>
            <w:tcBorders>
              <w:top w:val="nil"/>
              <w:left w:val="nil"/>
              <w:bottom w:val="single" w:sz="4" w:space="0" w:color="auto"/>
              <w:right w:val="single" w:sz="4" w:space="0" w:color="auto"/>
            </w:tcBorders>
            <w:shd w:val="clear" w:color="auto" w:fill="auto"/>
            <w:vAlign w:val="center"/>
            <w:hideMark/>
          </w:tcPr>
          <w:p w14:paraId="594454E2" w14:textId="5EF5A249" w:rsidR="00BB78B7" w:rsidRPr="00B92499" w:rsidRDefault="00BB78B7" w:rsidP="001075D0">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BB78B7" w:rsidRPr="00B92499" w14:paraId="03C8E7F0"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17689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XXXIX</w:t>
            </w:r>
          </w:p>
        </w:tc>
        <w:tc>
          <w:tcPr>
            <w:tcW w:w="0" w:type="auto"/>
            <w:tcBorders>
              <w:top w:val="nil"/>
              <w:left w:val="nil"/>
              <w:bottom w:val="single" w:sz="4" w:space="0" w:color="auto"/>
              <w:right w:val="single" w:sz="4" w:space="0" w:color="auto"/>
            </w:tcBorders>
            <w:shd w:val="clear" w:color="auto" w:fill="auto"/>
            <w:vAlign w:val="center"/>
            <w:hideMark/>
          </w:tcPr>
          <w:p w14:paraId="031372D9"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Resoluciones y laudos que se emitan en procesos seguidos en forma de juicio.</w:t>
            </w:r>
          </w:p>
        </w:tc>
        <w:tc>
          <w:tcPr>
            <w:tcW w:w="823" w:type="dxa"/>
            <w:tcBorders>
              <w:top w:val="nil"/>
              <w:left w:val="nil"/>
              <w:bottom w:val="single" w:sz="4" w:space="0" w:color="auto"/>
              <w:right w:val="single" w:sz="4" w:space="0" w:color="auto"/>
            </w:tcBorders>
            <w:shd w:val="clear" w:color="auto" w:fill="auto"/>
            <w:vAlign w:val="center"/>
            <w:hideMark/>
          </w:tcPr>
          <w:p w14:paraId="1C299F17" w14:textId="0F3AD477" w:rsidR="00BB78B7" w:rsidRPr="00B92499" w:rsidRDefault="00BB78B7" w:rsidP="001075D0">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BB78B7" w:rsidRPr="00B92499" w14:paraId="2F222D6A"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69D9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5A891EB8"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Lista con el importe con el concepto de viáticos.</w:t>
            </w:r>
          </w:p>
        </w:tc>
        <w:tc>
          <w:tcPr>
            <w:tcW w:w="823" w:type="dxa"/>
            <w:tcBorders>
              <w:top w:val="nil"/>
              <w:left w:val="nil"/>
              <w:bottom w:val="single" w:sz="4" w:space="0" w:color="auto"/>
              <w:right w:val="single" w:sz="4" w:space="0" w:color="auto"/>
            </w:tcBorders>
            <w:shd w:val="clear" w:color="auto" w:fill="auto"/>
            <w:vAlign w:val="center"/>
            <w:hideMark/>
          </w:tcPr>
          <w:p w14:paraId="596C69C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99.74 </w:t>
            </w:r>
          </w:p>
        </w:tc>
      </w:tr>
      <w:tr w:rsidR="00BB78B7" w:rsidRPr="00B92499" w14:paraId="7057843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35119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07F10F79" w14:textId="5CB7CF4F"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Remuneraciones mensual bruta y neta</w:t>
            </w:r>
            <w:r w:rsidR="00C576D2" w:rsidRPr="00B92499">
              <w:rPr>
                <w:rFonts w:ascii="Arial" w:hAnsi="Arial" w:cs="Arial"/>
                <w:color w:val="000000"/>
                <w:sz w:val="20"/>
                <w:szCs w:val="20"/>
              </w:rPr>
              <w:t>.</w:t>
            </w:r>
          </w:p>
        </w:tc>
        <w:tc>
          <w:tcPr>
            <w:tcW w:w="823" w:type="dxa"/>
            <w:tcBorders>
              <w:top w:val="nil"/>
              <w:left w:val="nil"/>
              <w:bottom w:val="single" w:sz="4" w:space="0" w:color="auto"/>
              <w:right w:val="single" w:sz="4" w:space="0" w:color="auto"/>
            </w:tcBorders>
            <w:shd w:val="clear" w:color="auto" w:fill="auto"/>
            <w:vAlign w:val="center"/>
            <w:hideMark/>
          </w:tcPr>
          <w:p w14:paraId="45EB5638"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99.74 </w:t>
            </w:r>
          </w:p>
        </w:tc>
      </w:tr>
      <w:tr w:rsidR="00BB78B7" w:rsidRPr="00B92499" w14:paraId="43980871"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777AE8"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4AB30327"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Número tal de plazas y tipos.</w:t>
            </w:r>
          </w:p>
        </w:tc>
        <w:tc>
          <w:tcPr>
            <w:tcW w:w="823" w:type="dxa"/>
            <w:tcBorders>
              <w:top w:val="nil"/>
              <w:left w:val="nil"/>
              <w:bottom w:val="single" w:sz="4" w:space="0" w:color="auto"/>
              <w:right w:val="single" w:sz="4" w:space="0" w:color="auto"/>
            </w:tcBorders>
            <w:shd w:val="clear" w:color="auto" w:fill="auto"/>
            <w:vAlign w:val="center"/>
            <w:hideMark/>
          </w:tcPr>
          <w:p w14:paraId="508CC61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99.74 </w:t>
            </w:r>
          </w:p>
        </w:tc>
      </w:tr>
      <w:tr w:rsidR="00BB78B7" w:rsidRPr="00B92499" w14:paraId="6D175281"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88B7B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29FC80BC" w14:textId="573AFCAF"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Informes que debe de 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p>
        </w:tc>
        <w:tc>
          <w:tcPr>
            <w:tcW w:w="823" w:type="dxa"/>
            <w:tcBorders>
              <w:top w:val="nil"/>
              <w:left w:val="nil"/>
              <w:bottom w:val="single" w:sz="4" w:space="0" w:color="auto"/>
              <w:right w:val="single" w:sz="4" w:space="0" w:color="auto"/>
            </w:tcBorders>
            <w:shd w:val="clear" w:color="auto" w:fill="auto"/>
            <w:vAlign w:val="center"/>
            <w:hideMark/>
          </w:tcPr>
          <w:p w14:paraId="56E367F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99.74 </w:t>
            </w:r>
          </w:p>
        </w:tc>
      </w:tr>
      <w:tr w:rsidR="00BB78B7" w:rsidRPr="00B92499" w14:paraId="56DC57E4"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C5036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4B20F0B8"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Estructura orgánica.</w:t>
            </w:r>
          </w:p>
        </w:tc>
        <w:tc>
          <w:tcPr>
            <w:tcW w:w="823" w:type="dxa"/>
            <w:tcBorders>
              <w:top w:val="nil"/>
              <w:left w:val="nil"/>
              <w:bottom w:val="single" w:sz="4" w:space="0" w:color="auto"/>
              <w:right w:val="single" w:sz="4" w:space="0" w:color="auto"/>
            </w:tcBorders>
            <w:shd w:val="clear" w:color="auto" w:fill="auto"/>
            <w:vAlign w:val="center"/>
            <w:hideMark/>
          </w:tcPr>
          <w:p w14:paraId="49BF9C4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BB78B7" w:rsidRPr="00B92499" w14:paraId="5EC3387C"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24B3D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41137201"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CV de jefe de departamento para arriba.</w:t>
            </w:r>
          </w:p>
        </w:tc>
        <w:tc>
          <w:tcPr>
            <w:tcW w:w="823" w:type="dxa"/>
            <w:tcBorders>
              <w:top w:val="nil"/>
              <w:left w:val="nil"/>
              <w:bottom w:val="single" w:sz="4" w:space="0" w:color="auto"/>
              <w:right w:val="single" w:sz="4" w:space="0" w:color="auto"/>
            </w:tcBorders>
            <w:shd w:val="clear" w:color="auto" w:fill="auto"/>
            <w:vAlign w:val="center"/>
            <w:hideMark/>
          </w:tcPr>
          <w:p w14:paraId="22096DB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99.67 </w:t>
            </w:r>
          </w:p>
        </w:tc>
      </w:tr>
      <w:tr w:rsidR="00BB78B7" w:rsidRPr="00B92499" w14:paraId="782FD6D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5AC491"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6F33A825"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Inventario de bienes muebles.</w:t>
            </w:r>
          </w:p>
        </w:tc>
        <w:tc>
          <w:tcPr>
            <w:tcW w:w="823" w:type="dxa"/>
            <w:tcBorders>
              <w:top w:val="nil"/>
              <w:left w:val="nil"/>
              <w:bottom w:val="single" w:sz="4" w:space="0" w:color="auto"/>
              <w:right w:val="single" w:sz="4" w:space="0" w:color="auto"/>
            </w:tcBorders>
            <w:shd w:val="clear" w:color="auto" w:fill="auto"/>
            <w:vAlign w:val="center"/>
            <w:hideMark/>
          </w:tcPr>
          <w:p w14:paraId="2BC6797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99.67 </w:t>
            </w:r>
          </w:p>
        </w:tc>
      </w:tr>
      <w:tr w:rsidR="00BB78B7" w:rsidRPr="00B92499" w14:paraId="3DDFB836"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5146C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6F141561"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Facultades de cada área (dirección).</w:t>
            </w:r>
          </w:p>
        </w:tc>
        <w:tc>
          <w:tcPr>
            <w:tcW w:w="823" w:type="dxa"/>
            <w:tcBorders>
              <w:top w:val="nil"/>
              <w:left w:val="nil"/>
              <w:bottom w:val="single" w:sz="4" w:space="0" w:color="auto"/>
              <w:right w:val="single" w:sz="4" w:space="0" w:color="auto"/>
            </w:tcBorders>
            <w:shd w:val="clear" w:color="auto" w:fill="auto"/>
            <w:vAlign w:val="center"/>
            <w:hideMark/>
          </w:tcPr>
          <w:p w14:paraId="70851E1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99.61 </w:t>
            </w:r>
          </w:p>
        </w:tc>
      </w:tr>
      <w:tr w:rsidR="00BB78B7" w:rsidRPr="00B92499" w14:paraId="44421AFF"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AACC7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15725A01"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Servicios profesionales y honorarios.</w:t>
            </w:r>
          </w:p>
        </w:tc>
        <w:tc>
          <w:tcPr>
            <w:tcW w:w="823" w:type="dxa"/>
            <w:tcBorders>
              <w:top w:val="nil"/>
              <w:left w:val="nil"/>
              <w:bottom w:val="single" w:sz="4" w:space="0" w:color="auto"/>
              <w:right w:val="single" w:sz="4" w:space="0" w:color="auto"/>
            </w:tcBorders>
            <w:shd w:val="clear" w:color="auto" w:fill="auto"/>
            <w:vAlign w:val="center"/>
            <w:hideMark/>
          </w:tcPr>
          <w:p w14:paraId="5EF3A65D"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99.52 </w:t>
            </w:r>
          </w:p>
        </w:tc>
      </w:tr>
      <w:tr w:rsidR="00BB78B7" w:rsidRPr="00B92499" w14:paraId="6010D3ED"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1280F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5BEAD694"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823" w:type="dxa"/>
            <w:tcBorders>
              <w:top w:val="nil"/>
              <w:left w:val="nil"/>
              <w:bottom w:val="single" w:sz="4" w:space="0" w:color="auto"/>
              <w:right w:val="single" w:sz="4" w:space="0" w:color="auto"/>
            </w:tcBorders>
            <w:shd w:val="clear" w:color="auto" w:fill="auto"/>
            <w:vAlign w:val="center"/>
            <w:hideMark/>
          </w:tcPr>
          <w:p w14:paraId="5B36CAD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99.48 </w:t>
            </w:r>
          </w:p>
        </w:tc>
      </w:tr>
      <w:tr w:rsidR="00BB78B7" w:rsidRPr="00B92499" w14:paraId="7E7F1090"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9F16E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723F1DD2"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Dictámenes de cuenta pública y estado financieros.</w:t>
            </w:r>
          </w:p>
        </w:tc>
        <w:tc>
          <w:tcPr>
            <w:tcW w:w="823" w:type="dxa"/>
            <w:tcBorders>
              <w:top w:val="nil"/>
              <w:left w:val="nil"/>
              <w:bottom w:val="single" w:sz="4" w:space="0" w:color="auto"/>
              <w:right w:val="single" w:sz="4" w:space="0" w:color="auto"/>
            </w:tcBorders>
            <w:shd w:val="clear" w:color="auto" w:fill="auto"/>
            <w:vAlign w:val="center"/>
            <w:hideMark/>
          </w:tcPr>
          <w:p w14:paraId="7A67E31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99.48 </w:t>
            </w:r>
          </w:p>
        </w:tc>
      </w:tr>
      <w:tr w:rsidR="00BB78B7" w:rsidRPr="00B92499" w14:paraId="352BC2CC"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B5B3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27D77DBD"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El catálogo de disposición y guía de archivo documental. </w:t>
            </w:r>
          </w:p>
        </w:tc>
        <w:tc>
          <w:tcPr>
            <w:tcW w:w="823" w:type="dxa"/>
            <w:tcBorders>
              <w:top w:val="nil"/>
              <w:left w:val="nil"/>
              <w:bottom w:val="single" w:sz="4" w:space="0" w:color="auto"/>
              <w:right w:val="single" w:sz="4" w:space="0" w:color="auto"/>
            </w:tcBorders>
            <w:shd w:val="clear" w:color="auto" w:fill="auto"/>
            <w:vAlign w:val="center"/>
            <w:hideMark/>
          </w:tcPr>
          <w:p w14:paraId="10FF820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99.48 </w:t>
            </w:r>
          </w:p>
        </w:tc>
      </w:tr>
      <w:tr w:rsidR="00BB78B7" w:rsidRPr="00B92499" w14:paraId="60E768D4"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DCE2CD"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36F5B262"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Padrón de proveedores y contratistas. </w:t>
            </w:r>
          </w:p>
        </w:tc>
        <w:tc>
          <w:tcPr>
            <w:tcW w:w="823" w:type="dxa"/>
            <w:tcBorders>
              <w:top w:val="nil"/>
              <w:left w:val="nil"/>
              <w:bottom w:val="single" w:sz="4" w:space="0" w:color="auto"/>
              <w:right w:val="single" w:sz="4" w:space="0" w:color="auto"/>
            </w:tcBorders>
            <w:shd w:val="clear" w:color="auto" w:fill="auto"/>
            <w:vAlign w:val="center"/>
            <w:hideMark/>
          </w:tcPr>
          <w:p w14:paraId="0AC9204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99.35 </w:t>
            </w:r>
          </w:p>
        </w:tc>
      </w:tr>
      <w:tr w:rsidR="00BB78B7" w:rsidRPr="00B92499" w14:paraId="5CF2A891"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D7997"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221E50E7"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Informe de avances programáticos o presupuestales. </w:t>
            </w:r>
          </w:p>
        </w:tc>
        <w:tc>
          <w:tcPr>
            <w:tcW w:w="823" w:type="dxa"/>
            <w:tcBorders>
              <w:top w:val="nil"/>
              <w:left w:val="nil"/>
              <w:bottom w:val="single" w:sz="4" w:space="0" w:color="auto"/>
              <w:right w:val="single" w:sz="4" w:space="0" w:color="auto"/>
            </w:tcBorders>
            <w:shd w:val="clear" w:color="auto" w:fill="auto"/>
            <w:vAlign w:val="center"/>
            <w:hideMark/>
          </w:tcPr>
          <w:p w14:paraId="0012667E"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99.28 </w:t>
            </w:r>
          </w:p>
        </w:tc>
      </w:tr>
      <w:tr w:rsidR="00BB78B7" w:rsidRPr="00B92499" w14:paraId="66C5593F"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39B6BD"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lastRenderedPageBreak/>
              <w:t>XV</w:t>
            </w:r>
          </w:p>
        </w:tc>
        <w:tc>
          <w:tcPr>
            <w:tcW w:w="0" w:type="auto"/>
            <w:tcBorders>
              <w:top w:val="nil"/>
              <w:left w:val="nil"/>
              <w:bottom w:val="single" w:sz="4" w:space="0" w:color="auto"/>
              <w:right w:val="single" w:sz="4" w:space="0" w:color="auto"/>
            </w:tcBorders>
            <w:shd w:val="clear" w:color="auto" w:fill="auto"/>
            <w:vAlign w:val="center"/>
            <w:hideMark/>
          </w:tcPr>
          <w:p w14:paraId="15246600"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Información curricular y perfil de puestos.</w:t>
            </w:r>
          </w:p>
        </w:tc>
        <w:tc>
          <w:tcPr>
            <w:tcW w:w="823" w:type="dxa"/>
            <w:tcBorders>
              <w:top w:val="nil"/>
              <w:left w:val="nil"/>
              <w:bottom w:val="single" w:sz="4" w:space="0" w:color="auto"/>
              <w:right w:val="single" w:sz="4" w:space="0" w:color="auto"/>
            </w:tcBorders>
            <w:shd w:val="clear" w:color="auto" w:fill="auto"/>
            <w:vAlign w:val="center"/>
            <w:hideMark/>
          </w:tcPr>
          <w:p w14:paraId="3069D2B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99.22 </w:t>
            </w:r>
          </w:p>
        </w:tc>
      </w:tr>
      <w:tr w:rsidR="00BB78B7" w:rsidRPr="00B92499" w14:paraId="6025C76E"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FDAA8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0D83619F"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Metas y objetivos de la Dirección conforme al POA.</w:t>
            </w:r>
          </w:p>
        </w:tc>
        <w:tc>
          <w:tcPr>
            <w:tcW w:w="823" w:type="dxa"/>
            <w:tcBorders>
              <w:top w:val="nil"/>
              <w:left w:val="nil"/>
              <w:bottom w:val="single" w:sz="4" w:space="0" w:color="auto"/>
              <w:right w:val="single" w:sz="4" w:space="0" w:color="auto"/>
            </w:tcBorders>
            <w:shd w:val="clear" w:color="auto" w:fill="auto"/>
            <w:vAlign w:val="center"/>
            <w:hideMark/>
          </w:tcPr>
          <w:p w14:paraId="0444D82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98.96 </w:t>
            </w:r>
          </w:p>
        </w:tc>
      </w:tr>
      <w:tr w:rsidR="00BB78B7" w:rsidRPr="00B92499" w14:paraId="69D9F297"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0B0B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2C670EBB"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Montos, criterios, convocatoria y convocatorias de personas físicas y morales que reciban recursos públicos o realicen actos de autoridad. </w:t>
            </w:r>
          </w:p>
        </w:tc>
        <w:tc>
          <w:tcPr>
            <w:tcW w:w="823" w:type="dxa"/>
            <w:tcBorders>
              <w:top w:val="nil"/>
              <w:left w:val="nil"/>
              <w:bottom w:val="single" w:sz="4" w:space="0" w:color="auto"/>
              <w:right w:val="single" w:sz="4" w:space="0" w:color="auto"/>
            </w:tcBorders>
            <w:shd w:val="clear" w:color="auto" w:fill="auto"/>
            <w:vAlign w:val="center"/>
            <w:hideMark/>
          </w:tcPr>
          <w:p w14:paraId="08ACD7A8"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98.96 </w:t>
            </w:r>
          </w:p>
        </w:tc>
      </w:tr>
      <w:tr w:rsidR="00BB78B7" w:rsidRPr="00B92499" w14:paraId="0BF7D4EC"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3C6B4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XLVII</w:t>
            </w:r>
          </w:p>
        </w:tc>
        <w:tc>
          <w:tcPr>
            <w:tcW w:w="0" w:type="auto"/>
            <w:tcBorders>
              <w:top w:val="nil"/>
              <w:left w:val="nil"/>
              <w:bottom w:val="single" w:sz="4" w:space="0" w:color="auto"/>
              <w:right w:val="single" w:sz="4" w:space="0" w:color="auto"/>
            </w:tcBorders>
            <w:shd w:val="clear" w:color="auto" w:fill="auto"/>
            <w:vAlign w:val="center"/>
            <w:hideMark/>
          </w:tcPr>
          <w:p w14:paraId="4DECC6F4"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Los ingresos recibidos por cualquier concepto.</w:t>
            </w:r>
          </w:p>
        </w:tc>
        <w:tc>
          <w:tcPr>
            <w:tcW w:w="823" w:type="dxa"/>
            <w:tcBorders>
              <w:top w:val="nil"/>
              <w:left w:val="nil"/>
              <w:bottom w:val="single" w:sz="4" w:space="0" w:color="auto"/>
              <w:right w:val="single" w:sz="4" w:space="0" w:color="auto"/>
            </w:tcBorders>
            <w:shd w:val="clear" w:color="auto" w:fill="auto"/>
            <w:vAlign w:val="center"/>
            <w:hideMark/>
          </w:tcPr>
          <w:p w14:paraId="0F996D0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98.96 </w:t>
            </w:r>
          </w:p>
        </w:tc>
      </w:tr>
      <w:tr w:rsidR="00BB78B7" w:rsidRPr="00B92499" w14:paraId="475ACF3E"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B02A7D"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LIII</w:t>
            </w:r>
          </w:p>
        </w:tc>
        <w:tc>
          <w:tcPr>
            <w:tcW w:w="0" w:type="auto"/>
            <w:tcBorders>
              <w:top w:val="nil"/>
              <w:left w:val="nil"/>
              <w:bottom w:val="single" w:sz="4" w:space="0" w:color="auto"/>
              <w:right w:val="single" w:sz="4" w:space="0" w:color="auto"/>
            </w:tcBorders>
            <w:shd w:val="clear" w:color="auto" w:fill="auto"/>
            <w:vAlign w:val="center"/>
            <w:hideMark/>
          </w:tcPr>
          <w:p w14:paraId="2A5AE590"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La ubicación de todas las obras públicas. </w:t>
            </w:r>
          </w:p>
        </w:tc>
        <w:tc>
          <w:tcPr>
            <w:tcW w:w="823" w:type="dxa"/>
            <w:tcBorders>
              <w:top w:val="nil"/>
              <w:left w:val="nil"/>
              <w:bottom w:val="single" w:sz="4" w:space="0" w:color="auto"/>
              <w:right w:val="single" w:sz="4" w:space="0" w:color="auto"/>
            </w:tcBorders>
            <w:shd w:val="clear" w:color="auto" w:fill="auto"/>
            <w:vAlign w:val="center"/>
            <w:hideMark/>
          </w:tcPr>
          <w:p w14:paraId="7C258B38"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98.96 </w:t>
            </w:r>
          </w:p>
        </w:tc>
      </w:tr>
      <w:tr w:rsidR="00BB78B7" w:rsidRPr="00B92499" w14:paraId="46518200"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CD469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3B19796D" w14:textId="6D4B14E5"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Informes de resultados de </w:t>
            </w:r>
            <w:r w:rsidR="00C7683E" w:rsidRPr="00B92499">
              <w:rPr>
                <w:rFonts w:ascii="Arial" w:hAnsi="Arial" w:cs="Arial"/>
                <w:color w:val="000000"/>
                <w:sz w:val="20"/>
                <w:szCs w:val="20"/>
              </w:rPr>
              <w:t>auditorías</w:t>
            </w:r>
            <w:r w:rsidRPr="00B92499">
              <w:rPr>
                <w:rFonts w:ascii="Arial" w:hAnsi="Arial" w:cs="Arial"/>
                <w:color w:val="000000"/>
                <w:sz w:val="20"/>
                <w:szCs w:val="20"/>
              </w:rPr>
              <w:t>.</w:t>
            </w:r>
          </w:p>
        </w:tc>
        <w:tc>
          <w:tcPr>
            <w:tcW w:w="823" w:type="dxa"/>
            <w:tcBorders>
              <w:top w:val="nil"/>
              <w:left w:val="nil"/>
              <w:bottom w:val="single" w:sz="4" w:space="0" w:color="auto"/>
              <w:right w:val="single" w:sz="4" w:space="0" w:color="auto"/>
            </w:tcBorders>
            <w:shd w:val="clear" w:color="auto" w:fill="auto"/>
            <w:vAlign w:val="center"/>
            <w:hideMark/>
          </w:tcPr>
          <w:p w14:paraId="5B54266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98.70 </w:t>
            </w:r>
          </w:p>
        </w:tc>
      </w:tr>
      <w:tr w:rsidR="00BB78B7" w:rsidRPr="00B92499" w14:paraId="3669028B"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F5124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37CA937E"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La información financiera sobre el presupuesto asignado.</w:t>
            </w:r>
          </w:p>
        </w:tc>
        <w:tc>
          <w:tcPr>
            <w:tcW w:w="823" w:type="dxa"/>
            <w:tcBorders>
              <w:top w:val="nil"/>
              <w:left w:val="nil"/>
              <w:bottom w:val="single" w:sz="4" w:space="0" w:color="auto"/>
              <w:right w:val="single" w:sz="4" w:space="0" w:color="auto"/>
            </w:tcBorders>
            <w:shd w:val="clear" w:color="auto" w:fill="auto"/>
            <w:vAlign w:val="center"/>
            <w:hideMark/>
          </w:tcPr>
          <w:p w14:paraId="71892BF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98.61 </w:t>
            </w:r>
          </w:p>
        </w:tc>
      </w:tr>
      <w:tr w:rsidR="00BB78B7" w:rsidRPr="00B92499" w14:paraId="6FB30799"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93578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309299E2"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Resultados de procedimiento de adjudicación directa, invitación restringida y licitación. </w:t>
            </w:r>
          </w:p>
        </w:tc>
        <w:tc>
          <w:tcPr>
            <w:tcW w:w="823" w:type="dxa"/>
            <w:tcBorders>
              <w:top w:val="nil"/>
              <w:left w:val="nil"/>
              <w:bottom w:val="single" w:sz="4" w:space="0" w:color="auto"/>
              <w:right w:val="single" w:sz="4" w:space="0" w:color="auto"/>
            </w:tcBorders>
            <w:shd w:val="clear" w:color="auto" w:fill="auto"/>
            <w:vAlign w:val="center"/>
            <w:hideMark/>
          </w:tcPr>
          <w:p w14:paraId="03264F0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98.34 </w:t>
            </w:r>
          </w:p>
        </w:tc>
      </w:tr>
      <w:tr w:rsidR="00BB78B7" w:rsidRPr="00B92499" w14:paraId="0EC079EF"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37780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XLI</w:t>
            </w:r>
          </w:p>
        </w:tc>
        <w:tc>
          <w:tcPr>
            <w:tcW w:w="0" w:type="auto"/>
            <w:tcBorders>
              <w:top w:val="nil"/>
              <w:left w:val="nil"/>
              <w:bottom w:val="single" w:sz="4" w:space="0" w:color="auto"/>
              <w:right w:val="single" w:sz="4" w:space="0" w:color="auto"/>
            </w:tcBorders>
            <w:shd w:val="clear" w:color="auto" w:fill="auto"/>
            <w:vAlign w:val="center"/>
            <w:hideMark/>
          </w:tcPr>
          <w:p w14:paraId="6504E0FC" w14:textId="543A0322"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Programas que ofrece el </w:t>
            </w:r>
            <w:r w:rsidR="008710F6" w:rsidRPr="00B92499">
              <w:rPr>
                <w:rFonts w:ascii="Arial" w:hAnsi="Arial" w:cs="Arial"/>
                <w:color w:val="000000"/>
                <w:sz w:val="20"/>
                <w:szCs w:val="20"/>
              </w:rPr>
              <w:t>sujeto obligado</w:t>
            </w:r>
            <w:r w:rsidRPr="00B92499">
              <w:rPr>
                <w:rFonts w:ascii="Arial" w:hAnsi="Arial" w:cs="Arial"/>
                <w:color w:val="000000"/>
                <w:sz w:val="20"/>
                <w:szCs w:val="20"/>
              </w:rPr>
              <w:t>, así como trámites, requisitos y formatos.</w:t>
            </w:r>
          </w:p>
        </w:tc>
        <w:tc>
          <w:tcPr>
            <w:tcW w:w="823" w:type="dxa"/>
            <w:tcBorders>
              <w:top w:val="nil"/>
              <w:left w:val="nil"/>
              <w:bottom w:val="single" w:sz="4" w:space="0" w:color="auto"/>
              <w:right w:val="single" w:sz="4" w:space="0" w:color="auto"/>
            </w:tcBorders>
            <w:shd w:val="clear" w:color="auto" w:fill="auto"/>
            <w:vAlign w:val="center"/>
            <w:hideMark/>
          </w:tcPr>
          <w:p w14:paraId="07381D1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98.18 </w:t>
            </w:r>
          </w:p>
        </w:tc>
      </w:tr>
      <w:tr w:rsidR="00BB78B7" w:rsidRPr="00B92499" w14:paraId="2788CB15"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128E5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w:t>
            </w:r>
          </w:p>
        </w:tc>
        <w:tc>
          <w:tcPr>
            <w:tcW w:w="0" w:type="auto"/>
            <w:tcBorders>
              <w:top w:val="nil"/>
              <w:left w:val="nil"/>
              <w:bottom w:val="single" w:sz="4" w:space="0" w:color="auto"/>
              <w:right w:val="single" w:sz="4" w:space="0" w:color="auto"/>
            </w:tcBorders>
            <w:shd w:val="clear" w:color="auto" w:fill="auto"/>
            <w:vAlign w:val="center"/>
            <w:hideMark/>
          </w:tcPr>
          <w:p w14:paraId="27EC0C4E"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Mecanismos de participación ciudadana.</w:t>
            </w:r>
          </w:p>
        </w:tc>
        <w:tc>
          <w:tcPr>
            <w:tcW w:w="823" w:type="dxa"/>
            <w:tcBorders>
              <w:top w:val="nil"/>
              <w:left w:val="nil"/>
              <w:bottom w:val="single" w:sz="4" w:space="0" w:color="auto"/>
              <w:right w:val="single" w:sz="4" w:space="0" w:color="auto"/>
            </w:tcBorders>
            <w:shd w:val="clear" w:color="auto" w:fill="auto"/>
            <w:vAlign w:val="center"/>
            <w:hideMark/>
          </w:tcPr>
          <w:p w14:paraId="25A0DE9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98.18 </w:t>
            </w:r>
          </w:p>
        </w:tc>
      </w:tr>
      <w:tr w:rsidR="00BB78B7" w:rsidRPr="00B92499" w14:paraId="2B97B31E"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3B84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XLIV</w:t>
            </w:r>
          </w:p>
        </w:tc>
        <w:tc>
          <w:tcPr>
            <w:tcW w:w="0" w:type="auto"/>
            <w:tcBorders>
              <w:top w:val="nil"/>
              <w:left w:val="nil"/>
              <w:bottom w:val="single" w:sz="4" w:space="0" w:color="auto"/>
              <w:right w:val="single" w:sz="4" w:space="0" w:color="auto"/>
            </w:tcBorders>
            <w:shd w:val="clear" w:color="auto" w:fill="auto"/>
            <w:vAlign w:val="center"/>
            <w:hideMark/>
          </w:tcPr>
          <w:p w14:paraId="4C203E00"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Evaluaciones y encuestas a programas financiados con recursos públicos. </w:t>
            </w:r>
          </w:p>
        </w:tc>
        <w:tc>
          <w:tcPr>
            <w:tcW w:w="823" w:type="dxa"/>
            <w:tcBorders>
              <w:top w:val="nil"/>
              <w:left w:val="nil"/>
              <w:bottom w:val="single" w:sz="4" w:space="0" w:color="auto"/>
              <w:right w:val="single" w:sz="4" w:space="0" w:color="auto"/>
            </w:tcBorders>
            <w:shd w:val="clear" w:color="auto" w:fill="auto"/>
            <w:vAlign w:val="center"/>
            <w:hideMark/>
          </w:tcPr>
          <w:p w14:paraId="0BF75C2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97.92 </w:t>
            </w:r>
          </w:p>
        </w:tc>
      </w:tr>
      <w:tr w:rsidR="00BB78B7" w:rsidRPr="00B92499" w14:paraId="7B53A480"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BF430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457BB8DD"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Información relativa a la cuenta y deuda públicas.</w:t>
            </w:r>
          </w:p>
        </w:tc>
        <w:tc>
          <w:tcPr>
            <w:tcW w:w="823" w:type="dxa"/>
            <w:tcBorders>
              <w:top w:val="nil"/>
              <w:left w:val="nil"/>
              <w:bottom w:val="single" w:sz="4" w:space="0" w:color="auto"/>
              <w:right w:val="single" w:sz="4" w:space="0" w:color="auto"/>
            </w:tcBorders>
            <w:shd w:val="clear" w:color="auto" w:fill="auto"/>
            <w:vAlign w:val="center"/>
            <w:hideMark/>
          </w:tcPr>
          <w:p w14:paraId="366FD538"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97.66 </w:t>
            </w:r>
          </w:p>
        </w:tc>
      </w:tr>
      <w:tr w:rsidR="00BB78B7" w:rsidRPr="00B92499" w14:paraId="1EE75229"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DAB69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2B9A9A17" w14:textId="4F39B819"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823" w:type="dxa"/>
            <w:tcBorders>
              <w:top w:val="nil"/>
              <w:left w:val="nil"/>
              <w:bottom w:val="single" w:sz="4" w:space="0" w:color="auto"/>
              <w:right w:val="single" w:sz="4" w:space="0" w:color="auto"/>
            </w:tcBorders>
            <w:shd w:val="clear" w:color="auto" w:fill="auto"/>
            <w:vAlign w:val="center"/>
            <w:hideMark/>
          </w:tcPr>
          <w:p w14:paraId="65162DC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97.40 </w:t>
            </w:r>
          </w:p>
        </w:tc>
      </w:tr>
      <w:tr w:rsidR="00BB78B7" w:rsidRPr="00B92499" w14:paraId="512104C8"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47B61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7920E62B"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Programas Operativos Anuales y de trabajo.</w:t>
            </w:r>
          </w:p>
        </w:tc>
        <w:tc>
          <w:tcPr>
            <w:tcW w:w="823" w:type="dxa"/>
            <w:tcBorders>
              <w:top w:val="nil"/>
              <w:left w:val="nil"/>
              <w:bottom w:val="single" w:sz="4" w:space="0" w:color="auto"/>
              <w:right w:val="single" w:sz="4" w:space="0" w:color="auto"/>
            </w:tcBorders>
            <w:shd w:val="clear" w:color="auto" w:fill="auto"/>
            <w:vAlign w:val="center"/>
            <w:hideMark/>
          </w:tcPr>
          <w:p w14:paraId="7E2AF5B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97.19 </w:t>
            </w:r>
          </w:p>
        </w:tc>
      </w:tr>
      <w:tr w:rsidR="00BB78B7" w:rsidRPr="00B92499" w14:paraId="08D886EC"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C1596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668EA737"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Estadísticas que generen.</w:t>
            </w:r>
          </w:p>
        </w:tc>
        <w:tc>
          <w:tcPr>
            <w:tcW w:w="823" w:type="dxa"/>
            <w:tcBorders>
              <w:top w:val="nil"/>
              <w:left w:val="nil"/>
              <w:bottom w:val="single" w:sz="4" w:space="0" w:color="auto"/>
              <w:right w:val="single" w:sz="4" w:space="0" w:color="auto"/>
            </w:tcBorders>
            <w:shd w:val="clear" w:color="auto" w:fill="auto"/>
            <w:vAlign w:val="center"/>
            <w:hideMark/>
          </w:tcPr>
          <w:p w14:paraId="09B1E63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97.14 </w:t>
            </w:r>
          </w:p>
        </w:tc>
      </w:tr>
      <w:tr w:rsidR="00BB78B7" w:rsidRPr="00B92499" w14:paraId="1B46E54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BCCA2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XLVI</w:t>
            </w:r>
          </w:p>
        </w:tc>
        <w:tc>
          <w:tcPr>
            <w:tcW w:w="0" w:type="auto"/>
            <w:tcBorders>
              <w:top w:val="nil"/>
              <w:left w:val="nil"/>
              <w:bottom w:val="single" w:sz="4" w:space="0" w:color="auto"/>
              <w:right w:val="single" w:sz="4" w:space="0" w:color="auto"/>
            </w:tcBorders>
            <w:shd w:val="clear" w:color="auto" w:fill="auto"/>
            <w:vAlign w:val="center"/>
            <w:hideMark/>
          </w:tcPr>
          <w:p w14:paraId="66A3F968"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Listado de jubilados y pensionados y monto que reciben.</w:t>
            </w:r>
          </w:p>
        </w:tc>
        <w:tc>
          <w:tcPr>
            <w:tcW w:w="823" w:type="dxa"/>
            <w:tcBorders>
              <w:top w:val="nil"/>
              <w:left w:val="nil"/>
              <w:bottom w:val="single" w:sz="4" w:space="0" w:color="auto"/>
              <w:right w:val="single" w:sz="4" w:space="0" w:color="auto"/>
            </w:tcBorders>
            <w:shd w:val="clear" w:color="auto" w:fill="auto"/>
            <w:vAlign w:val="center"/>
            <w:hideMark/>
          </w:tcPr>
          <w:p w14:paraId="3BA3F04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96.88 </w:t>
            </w:r>
          </w:p>
        </w:tc>
      </w:tr>
      <w:tr w:rsidR="00BB78B7" w:rsidRPr="00B92499" w14:paraId="515E25AF"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D5F7A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708ACA56"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Trámites que ofrecen y requisitos.</w:t>
            </w:r>
          </w:p>
        </w:tc>
        <w:tc>
          <w:tcPr>
            <w:tcW w:w="823" w:type="dxa"/>
            <w:tcBorders>
              <w:top w:val="nil"/>
              <w:left w:val="nil"/>
              <w:bottom w:val="single" w:sz="4" w:space="0" w:color="auto"/>
              <w:right w:val="single" w:sz="4" w:space="0" w:color="auto"/>
            </w:tcBorders>
            <w:shd w:val="clear" w:color="auto" w:fill="auto"/>
            <w:vAlign w:val="center"/>
            <w:hideMark/>
          </w:tcPr>
          <w:p w14:paraId="17812B1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96.74 </w:t>
            </w:r>
          </w:p>
        </w:tc>
      </w:tr>
      <w:tr w:rsidR="00BB78B7" w:rsidRPr="00B92499" w14:paraId="2E89CFD9"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D883BE"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L</w:t>
            </w:r>
          </w:p>
        </w:tc>
        <w:tc>
          <w:tcPr>
            <w:tcW w:w="0" w:type="auto"/>
            <w:tcBorders>
              <w:top w:val="nil"/>
              <w:left w:val="nil"/>
              <w:bottom w:val="single" w:sz="4" w:space="0" w:color="auto"/>
              <w:right w:val="single" w:sz="4" w:space="0" w:color="auto"/>
            </w:tcBorders>
            <w:shd w:val="clear" w:color="auto" w:fill="auto"/>
            <w:vAlign w:val="center"/>
            <w:hideMark/>
          </w:tcPr>
          <w:p w14:paraId="4442C958"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La calendarización, minutas y actas de las reuniones públicas de los consejos, colegiados, gabinetes, sesiones plenarias, comités, comisiones y sesiones de trabajo. </w:t>
            </w:r>
          </w:p>
        </w:tc>
        <w:tc>
          <w:tcPr>
            <w:tcW w:w="823" w:type="dxa"/>
            <w:tcBorders>
              <w:top w:val="nil"/>
              <w:left w:val="nil"/>
              <w:bottom w:val="single" w:sz="4" w:space="0" w:color="auto"/>
              <w:right w:val="single" w:sz="4" w:space="0" w:color="auto"/>
            </w:tcBorders>
            <w:shd w:val="clear" w:color="auto" w:fill="auto"/>
            <w:vAlign w:val="center"/>
            <w:hideMark/>
          </w:tcPr>
          <w:p w14:paraId="51330D1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96.74 </w:t>
            </w:r>
          </w:p>
        </w:tc>
      </w:tr>
      <w:tr w:rsidR="00BB78B7" w:rsidRPr="00B92499" w14:paraId="27058BBE"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F77CEA"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XXXV</w:t>
            </w:r>
          </w:p>
        </w:tc>
        <w:tc>
          <w:tcPr>
            <w:tcW w:w="0" w:type="auto"/>
            <w:tcBorders>
              <w:top w:val="nil"/>
              <w:left w:val="nil"/>
              <w:bottom w:val="single" w:sz="4" w:space="0" w:color="auto"/>
              <w:right w:val="single" w:sz="4" w:space="0" w:color="auto"/>
            </w:tcBorders>
            <w:shd w:val="clear" w:color="auto" w:fill="auto"/>
            <w:vAlign w:val="center"/>
            <w:hideMark/>
          </w:tcPr>
          <w:p w14:paraId="6C8008FA"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Convenios de coordinación de concertación con los sectores sociales y privado.</w:t>
            </w:r>
          </w:p>
        </w:tc>
        <w:tc>
          <w:tcPr>
            <w:tcW w:w="823" w:type="dxa"/>
            <w:tcBorders>
              <w:top w:val="nil"/>
              <w:left w:val="nil"/>
              <w:bottom w:val="single" w:sz="4" w:space="0" w:color="auto"/>
              <w:right w:val="single" w:sz="4" w:space="0" w:color="auto"/>
            </w:tcBorders>
            <w:shd w:val="clear" w:color="auto" w:fill="auto"/>
            <w:vAlign w:val="center"/>
            <w:hideMark/>
          </w:tcPr>
          <w:p w14:paraId="06E5554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96.61 </w:t>
            </w:r>
          </w:p>
        </w:tc>
      </w:tr>
      <w:tr w:rsidR="00BB78B7" w:rsidRPr="00B92499" w14:paraId="10443318"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CEB0A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XLV</w:t>
            </w:r>
          </w:p>
        </w:tc>
        <w:tc>
          <w:tcPr>
            <w:tcW w:w="0" w:type="auto"/>
            <w:tcBorders>
              <w:top w:val="nil"/>
              <w:left w:val="nil"/>
              <w:bottom w:val="single" w:sz="4" w:space="0" w:color="auto"/>
              <w:right w:val="single" w:sz="4" w:space="0" w:color="auto"/>
            </w:tcBorders>
            <w:shd w:val="clear" w:color="auto" w:fill="auto"/>
            <w:vAlign w:val="center"/>
            <w:hideMark/>
          </w:tcPr>
          <w:p w14:paraId="065C7641"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823" w:type="dxa"/>
            <w:tcBorders>
              <w:top w:val="nil"/>
              <w:left w:val="nil"/>
              <w:bottom w:val="single" w:sz="4" w:space="0" w:color="auto"/>
              <w:right w:val="single" w:sz="4" w:space="0" w:color="auto"/>
            </w:tcBorders>
            <w:shd w:val="clear" w:color="auto" w:fill="auto"/>
            <w:vAlign w:val="center"/>
            <w:hideMark/>
          </w:tcPr>
          <w:p w14:paraId="24313ED5"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96.05 </w:t>
            </w:r>
          </w:p>
        </w:tc>
      </w:tr>
      <w:tr w:rsidR="00BB78B7" w:rsidRPr="00B92499" w14:paraId="4F0A5A99"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68DEA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0932C30D"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Declaraciones 3de3.</w:t>
            </w:r>
          </w:p>
        </w:tc>
        <w:tc>
          <w:tcPr>
            <w:tcW w:w="823" w:type="dxa"/>
            <w:tcBorders>
              <w:top w:val="nil"/>
              <w:left w:val="nil"/>
              <w:bottom w:val="single" w:sz="4" w:space="0" w:color="auto"/>
              <w:right w:val="single" w:sz="4" w:space="0" w:color="auto"/>
            </w:tcBorders>
            <w:shd w:val="clear" w:color="auto" w:fill="auto"/>
            <w:vAlign w:val="center"/>
            <w:hideMark/>
          </w:tcPr>
          <w:p w14:paraId="7B71926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95.83 </w:t>
            </w:r>
          </w:p>
        </w:tc>
      </w:tr>
      <w:tr w:rsidR="00BB78B7" w:rsidRPr="00B92499" w14:paraId="156097F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42900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LIV</w:t>
            </w:r>
          </w:p>
        </w:tc>
        <w:tc>
          <w:tcPr>
            <w:tcW w:w="0" w:type="auto"/>
            <w:tcBorders>
              <w:top w:val="nil"/>
              <w:left w:val="nil"/>
              <w:bottom w:val="single" w:sz="4" w:space="0" w:color="auto"/>
              <w:right w:val="single" w:sz="4" w:space="0" w:color="auto"/>
            </w:tcBorders>
            <w:shd w:val="clear" w:color="auto" w:fill="auto"/>
            <w:vAlign w:val="center"/>
            <w:hideMark/>
          </w:tcPr>
          <w:p w14:paraId="239D0EDA"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Personas beneficiadas, la temporalidad, los montos y todo aquello relacionado con el acto administrativo de los incentivos, condonaciones, reducciones fiscales, concesiones, permisos o licencias, entre otros actos. </w:t>
            </w:r>
          </w:p>
        </w:tc>
        <w:tc>
          <w:tcPr>
            <w:tcW w:w="823" w:type="dxa"/>
            <w:tcBorders>
              <w:top w:val="nil"/>
              <w:left w:val="nil"/>
              <w:bottom w:val="single" w:sz="4" w:space="0" w:color="auto"/>
              <w:right w:val="single" w:sz="4" w:space="0" w:color="auto"/>
            </w:tcBorders>
            <w:shd w:val="clear" w:color="auto" w:fill="auto"/>
            <w:vAlign w:val="center"/>
            <w:hideMark/>
          </w:tcPr>
          <w:p w14:paraId="5B4F89A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95.31 </w:t>
            </w:r>
          </w:p>
        </w:tc>
      </w:tr>
      <w:tr w:rsidR="00BB78B7" w:rsidRPr="00B92499" w14:paraId="685A760A"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B1F54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071C9BBD"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823" w:type="dxa"/>
            <w:tcBorders>
              <w:top w:val="nil"/>
              <w:left w:val="nil"/>
              <w:bottom w:val="single" w:sz="4" w:space="0" w:color="auto"/>
              <w:right w:val="single" w:sz="4" w:space="0" w:color="auto"/>
            </w:tcBorders>
            <w:shd w:val="clear" w:color="auto" w:fill="auto"/>
            <w:vAlign w:val="center"/>
            <w:hideMark/>
          </w:tcPr>
          <w:p w14:paraId="6F8F527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95.29 </w:t>
            </w:r>
          </w:p>
        </w:tc>
      </w:tr>
      <w:tr w:rsidR="00BB78B7" w:rsidRPr="00B92499" w14:paraId="009A71ED"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6F5870"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57A0B5B9"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Indicadores que permitan rendir cuentas.</w:t>
            </w:r>
          </w:p>
        </w:tc>
        <w:tc>
          <w:tcPr>
            <w:tcW w:w="823" w:type="dxa"/>
            <w:tcBorders>
              <w:top w:val="nil"/>
              <w:left w:val="nil"/>
              <w:bottom w:val="single" w:sz="4" w:space="0" w:color="auto"/>
              <w:right w:val="single" w:sz="4" w:space="0" w:color="auto"/>
            </w:tcBorders>
            <w:shd w:val="clear" w:color="auto" w:fill="auto"/>
            <w:vAlign w:val="center"/>
            <w:hideMark/>
          </w:tcPr>
          <w:p w14:paraId="4B686FE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94.82 </w:t>
            </w:r>
          </w:p>
        </w:tc>
      </w:tr>
      <w:tr w:rsidR="00BB78B7" w:rsidRPr="00B92499" w14:paraId="2D239986"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11459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71A8CB43"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Indicadores de temas de interés público.</w:t>
            </w:r>
          </w:p>
        </w:tc>
        <w:tc>
          <w:tcPr>
            <w:tcW w:w="823" w:type="dxa"/>
            <w:tcBorders>
              <w:top w:val="nil"/>
              <w:left w:val="nil"/>
              <w:bottom w:val="single" w:sz="4" w:space="0" w:color="auto"/>
              <w:right w:val="single" w:sz="4" w:space="0" w:color="auto"/>
            </w:tcBorders>
            <w:shd w:val="clear" w:color="auto" w:fill="auto"/>
            <w:vAlign w:val="center"/>
            <w:hideMark/>
          </w:tcPr>
          <w:p w14:paraId="738AC13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94.71 </w:t>
            </w:r>
          </w:p>
        </w:tc>
      </w:tr>
      <w:tr w:rsidR="00BB78B7" w:rsidRPr="00B92499" w14:paraId="2749EC47"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803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lastRenderedPageBreak/>
              <w:t>XXXVII</w:t>
            </w:r>
          </w:p>
        </w:tc>
        <w:tc>
          <w:tcPr>
            <w:tcW w:w="0" w:type="auto"/>
            <w:tcBorders>
              <w:top w:val="nil"/>
              <w:left w:val="nil"/>
              <w:bottom w:val="single" w:sz="4" w:space="0" w:color="auto"/>
              <w:right w:val="single" w:sz="4" w:space="0" w:color="auto"/>
            </w:tcBorders>
            <w:shd w:val="clear" w:color="auto" w:fill="auto"/>
            <w:vAlign w:val="center"/>
            <w:hideMark/>
          </w:tcPr>
          <w:p w14:paraId="38D4DCAE" w14:textId="0243E4A4"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al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la CDHCDMX.</w:t>
            </w:r>
          </w:p>
        </w:tc>
        <w:tc>
          <w:tcPr>
            <w:tcW w:w="823" w:type="dxa"/>
            <w:tcBorders>
              <w:top w:val="nil"/>
              <w:left w:val="nil"/>
              <w:bottom w:val="single" w:sz="4" w:space="0" w:color="auto"/>
              <w:right w:val="single" w:sz="4" w:space="0" w:color="auto"/>
            </w:tcBorders>
            <w:shd w:val="clear" w:color="auto" w:fill="auto"/>
            <w:vAlign w:val="center"/>
            <w:hideMark/>
          </w:tcPr>
          <w:p w14:paraId="5922CE1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94.32 </w:t>
            </w:r>
          </w:p>
        </w:tc>
      </w:tr>
      <w:tr w:rsidR="00BB78B7" w:rsidRPr="00B92499" w14:paraId="038849C7"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FA2D0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6D9EE33F"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Servidores públicos con sanciones administrativas.</w:t>
            </w:r>
          </w:p>
        </w:tc>
        <w:tc>
          <w:tcPr>
            <w:tcW w:w="823" w:type="dxa"/>
            <w:tcBorders>
              <w:top w:val="nil"/>
              <w:left w:val="nil"/>
              <w:bottom w:val="single" w:sz="4" w:space="0" w:color="auto"/>
              <w:right w:val="single" w:sz="4" w:space="0" w:color="auto"/>
            </w:tcBorders>
            <w:shd w:val="clear" w:color="auto" w:fill="auto"/>
            <w:vAlign w:val="center"/>
            <w:hideMark/>
          </w:tcPr>
          <w:p w14:paraId="0380E971"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94.27 </w:t>
            </w:r>
          </w:p>
        </w:tc>
      </w:tr>
      <w:tr w:rsidR="00BB78B7" w:rsidRPr="00B92499" w14:paraId="7A9741FB"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8313D6"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259CC997" w14:textId="26744A34"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Indicadores de </w:t>
            </w:r>
            <w:r w:rsidR="00C7683E" w:rsidRPr="00B92499">
              <w:rPr>
                <w:rFonts w:ascii="Arial" w:hAnsi="Arial" w:cs="Arial"/>
                <w:color w:val="000000"/>
                <w:sz w:val="20"/>
                <w:szCs w:val="20"/>
              </w:rPr>
              <w:t>gestión.</w:t>
            </w:r>
          </w:p>
        </w:tc>
        <w:tc>
          <w:tcPr>
            <w:tcW w:w="823" w:type="dxa"/>
            <w:tcBorders>
              <w:top w:val="nil"/>
              <w:left w:val="nil"/>
              <w:bottom w:val="single" w:sz="4" w:space="0" w:color="auto"/>
              <w:right w:val="single" w:sz="4" w:space="0" w:color="auto"/>
            </w:tcBorders>
            <w:shd w:val="clear" w:color="auto" w:fill="auto"/>
            <w:vAlign w:val="center"/>
            <w:hideMark/>
          </w:tcPr>
          <w:p w14:paraId="0AEE7F5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94.26 </w:t>
            </w:r>
          </w:p>
        </w:tc>
      </w:tr>
      <w:tr w:rsidR="00BB78B7" w:rsidRPr="00B92499" w14:paraId="34EB9643"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CB282E"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67D13910"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823" w:type="dxa"/>
            <w:tcBorders>
              <w:top w:val="nil"/>
              <w:left w:val="nil"/>
              <w:bottom w:val="single" w:sz="4" w:space="0" w:color="auto"/>
              <w:right w:val="single" w:sz="4" w:space="0" w:color="auto"/>
            </w:tcBorders>
            <w:shd w:val="clear" w:color="auto" w:fill="auto"/>
            <w:vAlign w:val="center"/>
            <w:hideMark/>
          </w:tcPr>
          <w:p w14:paraId="6086F82C"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93.75 </w:t>
            </w:r>
          </w:p>
        </w:tc>
      </w:tr>
      <w:tr w:rsidR="00BB78B7" w:rsidRPr="00B92499" w14:paraId="513F6036"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F05FDB"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XLVIII</w:t>
            </w:r>
          </w:p>
        </w:tc>
        <w:tc>
          <w:tcPr>
            <w:tcW w:w="0" w:type="auto"/>
            <w:tcBorders>
              <w:top w:val="nil"/>
              <w:left w:val="nil"/>
              <w:bottom w:val="single" w:sz="4" w:space="0" w:color="auto"/>
              <w:right w:val="single" w:sz="4" w:space="0" w:color="auto"/>
            </w:tcBorders>
            <w:shd w:val="clear" w:color="auto" w:fill="auto"/>
            <w:vAlign w:val="center"/>
            <w:hideMark/>
          </w:tcPr>
          <w:p w14:paraId="3C9A3464"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Donaciones en dinero o especie hechas por terceros. </w:t>
            </w:r>
          </w:p>
        </w:tc>
        <w:tc>
          <w:tcPr>
            <w:tcW w:w="823" w:type="dxa"/>
            <w:tcBorders>
              <w:top w:val="nil"/>
              <w:left w:val="nil"/>
              <w:bottom w:val="single" w:sz="4" w:space="0" w:color="auto"/>
              <w:right w:val="single" w:sz="4" w:space="0" w:color="auto"/>
            </w:tcBorders>
            <w:shd w:val="clear" w:color="auto" w:fill="auto"/>
            <w:vAlign w:val="center"/>
            <w:hideMark/>
          </w:tcPr>
          <w:p w14:paraId="02D8C66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93.75 </w:t>
            </w:r>
          </w:p>
        </w:tc>
      </w:tr>
      <w:tr w:rsidR="00BB78B7" w:rsidRPr="00B92499" w14:paraId="747F78FE"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5AE3D2"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44E29E7E"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Cualquier otra información que sea de utilidad o se considere relevante. </w:t>
            </w:r>
          </w:p>
        </w:tc>
        <w:tc>
          <w:tcPr>
            <w:tcW w:w="823" w:type="dxa"/>
            <w:tcBorders>
              <w:top w:val="nil"/>
              <w:left w:val="nil"/>
              <w:bottom w:val="single" w:sz="4" w:space="0" w:color="auto"/>
              <w:right w:val="single" w:sz="4" w:space="0" w:color="auto"/>
            </w:tcBorders>
            <w:shd w:val="clear" w:color="auto" w:fill="auto"/>
            <w:vAlign w:val="center"/>
            <w:hideMark/>
          </w:tcPr>
          <w:p w14:paraId="44E7323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93.10 </w:t>
            </w:r>
          </w:p>
        </w:tc>
      </w:tr>
      <w:tr w:rsidR="00BB78B7" w:rsidRPr="00B92499" w14:paraId="50AFCE79"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51ADD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2D8818C2"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 xml:space="preserve">Metas y objetivos de la Dirección. </w:t>
            </w:r>
          </w:p>
        </w:tc>
        <w:tc>
          <w:tcPr>
            <w:tcW w:w="823" w:type="dxa"/>
            <w:tcBorders>
              <w:top w:val="nil"/>
              <w:left w:val="nil"/>
              <w:bottom w:val="single" w:sz="4" w:space="0" w:color="auto"/>
              <w:right w:val="single" w:sz="4" w:space="0" w:color="auto"/>
            </w:tcBorders>
            <w:shd w:val="clear" w:color="auto" w:fill="auto"/>
            <w:vAlign w:val="center"/>
            <w:hideMark/>
          </w:tcPr>
          <w:p w14:paraId="592A8EA9"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93.01 </w:t>
            </w:r>
          </w:p>
        </w:tc>
      </w:tr>
      <w:tr w:rsidR="00BB78B7" w:rsidRPr="00B92499" w14:paraId="3F1E0808"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90D313"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65FE2E95"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823" w:type="dxa"/>
            <w:tcBorders>
              <w:top w:val="nil"/>
              <w:left w:val="nil"/>
              <w:bottom w:val="single" w:sz="4" w:space="0" w:color="auto"/>
              <w:right w:val="single" w:sz="4" w:space="0" w:color="auto"/>
            </w:tcBorders>
            <w:shd w:val="clear" w:color="auto" w:fill="auto"/>
            <w:vAlign w:val="center"/>
            <w:hideMark/>
          </w:tcPr>
          <w:p w14:paraId="634DEA2F"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92.78 </w:t>
            </w:r>
          </w:p>
        </w:tc>
      </w:tr>
      <w:tr w:rsidR="00BB78B7" w:rsidRPr="00B92499" w14:paraId="639CB2B4"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26F78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37F27046"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Marco Normativo.</w:t>
            </w:r>
          </w:p>
        </w:tc>
        <w:tc>
          <w:tcPr>
            <w:tcW w:w="823" w:type="dxa"/>
            <w:tcBorders>
              <w:top w:val="nil"/>
              <w:left w:val="nil"/>
              <w:bottom w:val="single" w:sz="4" w:space="0" w:color="auto"/>
              <w:right w:val="single" w:sz="4" w:space="0" w:color="auto"/>
            </w:tcBorders>
            <w:shd w:val="clear" w:color="auto" w:fill="auto"/>
            <w:vAlign w:val="center"/>
            <w:hideMark/>
          </w:tcPr>
          <w:p w14:paraId="6ACA07DE"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90.49 </w:t>
            </w:r>
          </w:p>
        </w:tc>
      </w:tr>
      <w:tr w:rsidR="00BB78B7" w:rsidRPr="00B92499" w14:paraId="576C138A" w14:textId="77777777" w:rsidTr="00BB78B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80825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16148950" w14:textId="77777777" w:rsidR="00BB78B7" w:rsidRPr="00B92499" w:rsidRDefault="00BB78B7" w:rsidP="00BB78B7">
            <w:pPr>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823" w:type="dxa"/>
            <w:tcBorders>
              <w:top w:val="nil"/>
              <w:left w:val="nil"/>
              <w:bottom w:val="single" w:sz="4" w:space="0" w:color="auto"/>
              <w:right w:val="single" w:sz="4" w:space="0" w:color="auto"/>
            </w:tcBorders>
            <w:shd w:val="clear" w:color="auto" w:fill="auto"/>
            <w:vAlign w:val="center"/>
            <w:hideMark/>
          </w:tcPr>
          <w:p w14:paraId="2CE48FC4" w14:textId="77777777" w:rsidR="00BB78B7" w:rsidRPr="00B92499" w:rsidRDefault="00BB78B7" w:rsidP="00BB78B7">
            <w:pPr>
              <w:jc w:val="center"/>
              <w:rPr>
                <w:rFonts w:ascii="Arial" w:hAnsi="Arial" w:cs="Arial"/>
                <w:color w:val="000000"/>
                <w:sz w:val="20"/>
                <w:szCs w:val="20"/>
              </w:rPr>
            </w:pPr>
            <w:r w:rsidRPr="00B92499">
              <w:rPr>
                <w:rFonts w:ascii="Arial" w:hAnsi="Arial" w:cs="Arial"/>
                <w:color w:val="000000"/>
                <w:sz w:val="20"/>
                <w:szCs w:val="20"/>
              </w:rPr>
              <w:t xml:space="preserve">            89.36 </w:t>
            </w:r>
          </w:p>
        </w:tc>
      </w:tr>
    </w:tbl>
    <w:p w14:paraId="12355BAC" w14:textId="77777777" w:rsidR="00BB78B7" w:rsidRPr="00B92499" w:rsidRDefault="00BB78B7" w:rsidP="00BB78B7">
      <w:pPr>
        <w:rPr>
          <w:lang w:eastAsia="en-US"/>
        </w:rPr>
      </w:pPr>
    </w:p>
    <w:p w14:paraId="7E5F47F8" w14:textId="564F86BB" w:rsidR="002E7D47" w:rsidRPr="00B92499" w:rsidRDefault="00940CBA" w:rsidP="009F64B5">
      <w:pPr>
        <w:pStyle w:val="Ttulo3"/>
        <w:numPr>
          <w:ilvl w:val="2"/>
          <w:numId w:val="7"/>
        </w:numPr>
        <w:contextualSpacing/>
        <w:jc w:val="both"/>
        <w:rPr>
          <w:rFonts w:ascii="Arial" w:hAnsi="Arial" w:cs="Arial"/>
          <w:b/>
          <w:color w:val="auto"/>
        </w:rPr>
      </w:pPr>
      <w:bookmarkStart w:id="13" w:name="_Toc23252971"/>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122 y sus respectivas fracciones</w:t>
      </w:r>
      <w:bookmarkEnd w:id="13"/>
    </w:p>
    <w:p w14:paraId="379029AF" w14:textId="400ABF93" w:rsidR="00CF7EED" w:rsidRPr="00B92499" w:rsidRDefault="00BB78B7" w:rsidP="00CF7EED">
      <w:pPr>
        <w:spacing w:before="100" w:beforeAutospacing="1" w:after="100" w:afterAutospacing="1" w:line="360" w:lineRule="auto"/>
        <w:contextualSpacing/>
        <w:jc w:val="both"/>
        <w:rPr>
          <w:rFonts w:ascii="Arial" w:hAnsi="Arial" w:cs="Arial"/>
        </w:rPr>
      </w:pPr>
      <w:r w:rsidRPr="00B92499">
        <w:rPr>
          <w:rFonts w:ascii="Arial" w:hAnsi="Arial" w:cs="Arial"/>
        </w:rPr>
        <w:t>El artículo 122 únicamente le es aplicable a la Secretaría de Educación, Ciencia, Tecnología e Innovación, la Secretaría de Inclusión y Bienestar Social, la Secretaría de las Mujeres y la Secretaría de Pueblos y Barrios Originarios y Comunidades Indígenas Residentes. En esta línea, l</w:t>
      </w:r>
      <w:r w:rsidR="00CF7EED" w:rsidRPr="00B92499">
        <w:rPr>
          <w:rFonts w:ascii="Arial" w:hAnsi="Arial" w:cs="Arial"/>
        </w:rPr>
        <w:t xml:space="preserve">os </w:t>
      </w:r>
      <w:r w:rsidR="008710F6" w:rsidRPr="00B92499">
        <w:rPr>
          <w:rFonts w:ascii="Arial" w:hAnsi="Arial" w:cs="Arial"/>
        </w:rPr>
        <w:t>sujeto</w:t>
      </w:r>
      <w:r w:rsidR="00CF7EED" w:rsidRPr="00B92499">
        <w:rPr>
          <w:rFonts w:ascii="Arial" w:hAnsi="Arial" w:cs="Arial"/>
        </w:rPr>
        <w:t xml:space="preserve">s </w:t>
      </w:r>
      <w:r w:rsidR="008710F6" w:rsidRPr="00B92499">
        <w:rPr>
          <w:rFonts w:ascii="Arial" w:hAnsi="Arial" w:cs="Arial"/>
        </w:rPr>
        <w:t>obligado</w:t>
      </w:r>
      <w:r w:rsidR="00CF7EED" w:rsidRPr="00B92499">
        <w:rPr>
          <w:rFonts w:ascii="Arial" w:hAnsi="Arial" w:cs="Arial"/>
        </w:rPr>
        <w:t xml:space="preserve">s de la Administración Central obtuvieron un ICP de </w:t>
      </w:r>
      <w:r w:rsidRPr="00B92499">
        <w:rPr>
          <w:rFonts w:ascii="Arial" w:hAnsi="Arial" w:cs="Arial"/>
        </w:rPr>
        <w:t>99.32</w:t>
      </w:r>
      <w:r w:rsidR="00CF7EED" w:rsidRPr="00B92499">
        <w:rPr>
          <w:rFonts w:ascii="Arial" w:hAnsi="Arial" w:cs="Arial"/>
        </w:rPr>
        <w:t>%</w:t>
      </w:r>
      <w:r w:rsidR="00BF7A5D" w:rsidRPr="00B92499">
        <w:rPr>
          <w:rFonts w:ascii="Arial" w:hAnsi="Arial" w:cs="Arial"/>
        </w:rPr>
        <w:t>,</w:t>
      </w:r>
      <w:r w:rsidR="00CF7EED" w:rsidRPr="00B92499">
        <w:rPr>
          <w:rFonts w:ascii="Arial" w:hAnsi="Arial" w:cs="Arial"/>
        </w:rPr>
        <w:t xml:space="preserve"> por lo que se encuentra dentro del área de cumplimiento parcial</w:t>
      </w:r>
      <w:r w:rsidR="00BF7A5D" w:rsidRPr="00B92499">
        <w:rPr>
          <w:rFonts w:ascii="Arial" w:hAnsi="Arial" w:cs="Arial"/>
        </w:rPr>
        <w:t xml:space="preserve">. </w:t>
      </w:r>
      <w:r w:rsidR="00CF7EED" w:rsidRPr="00B92499">
        <w:rPr>
          <w:rFonts w:ascii="Arial" w:hAnsi="Arial" w:cs="Arial"/>
        </w:rPr>
        <w:t>Las fracciones I, II y III obtuvieron un ICP de 9</w:t>
      </w:r>
      <w:r w:rsidR="00BF7A5D" w:rsidRPr="00B92499">
        <w:rPr>
          <w:rFonts w:ascii="Arial" w:hAnsi="Arial" w:cs="Arial"/>
        </w:rPr>
        <w:t>7.91</w:t>
      </w:r>
      <w:r w:rsidR="00CF7EED" w:rsidRPr="00B92499">
        <w:rPr>
          <w:rFonts w:ascii="Arial" w:hAnsi="Arial" w:cs="Arial"/>
        </w:rPr>
        <w:t>%, 9</w:t>
      </w:r>
      <w:r w:rsidR="00BF7A5D" w:rsidRPr="00B92499">
        <w:rPr>
          <w:rFonts w:ascii="Arial" w:hAnsi="Arial" w:cs="Arial"/>
        </w:rPr>
        <w:t>7.31</w:t>
      </w:r>
      <w:r w:rsidR="00CF7EED" w:rsidRPr="00B92499">
        <w:rPr>
          <w:rFonts w:ascii="Arial" w:hAnsi="Arial" w:cs="Arial"/>
        </w:rPr>
        <w:t xml:space="preserve">% y </w:t>
      </w:r>
      <w:r w:rsidR="00BF7A5D" w:rsidRPr="00B92499">
        <w:rPr>
          <w:rFonts w:ascii="Arial" w:hAnsi="Arial" w:cs="Arial"/>
        </w:rPr>
        <w:t>98.95</w:t>
      </w:r>
      <w:r w:rsidR="00CF7EED" w:rsidRPr="00B92499">
        <w:rPr>
          <w:rFonts w:ascii="Arial" w:hAnsi="Arial" w:cs="Arial"/>
        </w:rPr>
        <w:t>% respectivamente, colocándose</w:t>
      </w:r>
      <w:r w:rsidR="00BF7A5D" w:rsidRPr="00B92499">
        <w:rPr>
          <w:rFonts w:ascii="Arial" w:hAnsi="Arial" w:cs="Arial"/>
        </w:rPr>
        <w:t>, de igual manera,</w:t>
      </w:r>
      <w:r w:rsidR="00CF7EED" w:rsidRPr="00B92499">
        <w:rPr>
          <w:rFonts w:ascii="Arial" w:hAnsi="Arial" w:cs="Arial"/>
        </w:rPr>
        <w:t xml:space="preserve"> en un cumplimiento parcial. </w:t>
      </w:r>
    </w:p>
    <w:p w14:paraId="309BEB01" w14:textId="77777777" w:rsidR="00CF7EED" w:rsidRPr="00B92499" w:rsidRDefault="00CF7EED" w:rsidP="00CF7EED">
      <w:pPr>
        <w:spacing w:before="100" w:beforeAutospacing="1" w:after="100" w:afterAutospacing="1" w:line="360" w:lineRule="auto"/>
        <w:contextualSpacing/>
        <w:jc w:val="both"/>
        <w:rPr>
          <w:rFonts w:ascii="Arial" w:hAnsi="Arial" w:cs="Arial"/>
        </w:rPr>
      </w:pPr>
    </w:p>
    <w:p w14:paraId="2105CC5A" w14:textId="5F331BE8" w:rsidR="00BF7A5D" w:rsidRPr="00B92499" w:rsidRDefault="00CF7EED"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Por otra parte, los errores que cometieron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con mayor frecuencia </w:t>
      </w:r>
      <w:r w:rsidR="0013436A" w:rsidRPr="00B92499">
        <w:rPr>
          <w:rFonts w:ascii="Arial" w:hAnsi="Arial" w:cs="Arial"/>
        </w:rPr>
        <w:t>consistieron en</w:t>
      </w:r>
      <w:r w:rsidR="009F734B" w:rsidRPr="00B92499">
        <w:rPr>
          <w:rFonts w:ascii="Arial" w:hAnsi="Arial" w:cs="Arial"/>
        </w:rPr>
        <w:t xml:space="preserve"> </w:t>
      </w:r>
      <w:r w:rsidRPr="00B92499">
        <w:rPr>
          <w:rFonts w:ascii="Arial" w:hAnsi="Arial" w:cs="Arial"/>
        </w:rPr>
        <w:t>no actualizaron la información conforme indica la normatividad vigente</w:t>
      </w:r>
      <w:r w:rsidR="00BF7A5D" w:rsidRPr="00B92499">
        <w:rPr>
          <w:rFonts w:ascii="Arial" w:hAnsi="Arial" w:cs="Arial"/>
        </w:rPr>
        <w:t>.</w:t>
      </w:r>
    </w:p>
    <w:p w14:paraId="2C86ED7A" w14:textId="43F0859B" w:rsidR="00EE5F08" w:rsidRPr="00B92499" w:rsidRDefault="00940CBA" w:rsidP="009F64B5">
      <w:pPr>
        <w:pStyle w:val="Ttulo3"/>
        <w:numPr>
          <w:ilvl w:val="2"/>
          <w:numId w:val="7"/>
        </w:numPr>
        <w:contextualSpacing/>
        <w:jc w:val="both"/>
        <w:rPr>
          <w:rFonts w:ascii="Arial" w:hAnsi="Arial" w:cs="Arial"/>
          <w:b/>
          <w:color w:val="auto"/>
        </w:rPr>
      </w:pPr>
      <w:bookmarkStart w:id="14" w:name="_Toc23252972"/>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123 y sus respectivas fracciones</w:t>
      </w:r>
      <w:bookmarkEnd w:id="14"/>
    </w:p>
    <w:p w14:paraId="4AB2DF11" w14:textId="1C99EBA7" w:rsidR="0013436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Administración Central alcanzaron un ICP en este </w:t>
      </w:r>
      <w:r w:rsidR="008F67E4" w:rsidRPr="00B92499">
        <w:rPr>
          <w:rFonts w:ascii="Arial" w:hAnsi="Arial" w:cs="Arial"/>
        </w:rPr>
        <w:t>artículo</w:t>
      </w:r>
      <w:r w:rsidRPr="00B92499">
        <w:rPr>
          <w:rFonts w:ascii="Arial" w:hAnsi="Arial" w:cs="Arial"/>
        </w:rPr>
        <w:t xml:space="preserve"> de </w:t>
      </w:r>
      <w:r w:rsidR="0013436A" w:rsidRPr="00B92499">
        <w:rPr>
          <w:rFonts w:ascii="Arial" w:hAnsi="Arial" w:cs="Arial"/>
        </w:rPr>
        <w:t>97.14</w:t>
      </w:r>
      <w:r w:rsidRPr="00B92499">
        <w:rPr>
          <w:rFonts w:ascii="Arial" w:hAnsi="Arial" w:cs="Arial"/>
        </w:rPr>
        <w:t xml:space="preserve">%, por lo que se encuentra dentro del área de cumplimiento parcial. </w:t>
      </w:r>
      <w:r w:rsidRPr="00B92499">
        <w:rPr>
          <w:rFonts w:ascii="Arial" w:hAnsi="Arial" w:cs="Arial"/>
        </w:rPr>
        <w:lastRenderedPageBreak/>
        <w:t xml:space="preserve">En atención a lo anterior, </w:t>
      </w:r>
      <w:r w:rsidR="000D67A7" w:rsidRPr="00B92499">
        <w:rPr>
          <w:rFonts w:ascii="Arial" w:hAnsi="Arial" w:cs="Arial"/>
        </w:rPr>
        <w:t xml:space="preserve">5 </w:t>
      </w:r>
      <w:r w:rsidR="008710F6" w:rsidRPr="00B92499">
        <w:rPr>
          <w:rFonts w:ascii="Arial" w:hAnsi="Arial" w:cs="Arial"/>
        </w:rPr>
        <w:t>sujeto</w:t>
      </w:r>
      <w:r w:rsidR="0013436A" w:rsidRPr="00B92499">
        <w:rPr>
          <w:rFonts w:ascii="Arial" w:hAnsi="Arial" w:cs="Arial"/>
        </w:rPr>
        <w:t>s cumplieron totalmente y</w:t>
      </w:r>
      <w:r w:rsidR="000D67A7" w:rsidRPr="00B92499">
        <w:rPr>
          <w:rFonts w:ascii="Arial" w:hAnsi="Arial" w:cs="Arial"/>
        </w:rPr>
        <w:t xml:space="preserve"> 3 </w:t>
      </w:r>
      <w:r w:rsidR="008710F6" w:rsidRPr="00B92499">
        <w:rPr>
          <w:rFonts w:ascii="Arial" w:hAnsi="Arial" w:cs="Arial"/>
        </w:rPr>
        <w:t>sujeto</w:t>
      </w:r>
      <w:r w:rsidR="0013436A" w:rsidRPr="00B92499">
        <w:rPr>
          <w:rFonts w:ascii="Arial" w:hAnsi="Arial" w:cs="Arial"/>
        </w:rPr>
        <w:t>s cumplieron parcialmente ubicándose entre el 85.37% y 98.40</w:t>
      </w:r>
      <w:r w:rsidR="000F221D" w:rsidRPr="00B92499">
        <w:rPr>
          <w:rFonts w:ascii="Arial" w:hAnsi="Arial" w:cs="Arial"/>
        </w:rPr>
        <w:t>%</w:t>
      </w:r>
      <w:r w:rsidR="0013436A" w:rsidRPr="00B92499">
        <w:rPr>
          <w:rFonts w:ascii="Arial" w:hAnsi="Arial" w:cs="Arial"/>
        </w:rPr>
        <w:t>.</w:t>
      </w:r>
    </w:p>
    <w:p w14:paraId="509B1C14" w14:textId="77777777" w:rsidR="0013436A" w:rsidRPr="00B92499" w:rsidRDefault="0013436A" w:rsidP="002E7D47">
      <w:pPr>
        <w:spacing w:before="100" w:beforeAutospacing="1" w:after="100" w:afterAutospacing="1" w:line="360" w:lineRule="auto"/>
        <w:contextualSpacing/>
        <w:jc w:val="both"/>
        <w:rPr>
          <w:rFonts w:ascii="Arial" w:hAnsi="Arial" w:cs="Arial"/>
        </w:rPr>
      </w:pPr>
    </w:p>
    <w:p w14:paraId="4F513743" w14:textId="46C26F11" w:rsidR="00940CBA" w:rsidRPr="00B92499" w:rsidRDefault="0013436A" w:rsidP="002E7D47">
      <w:pPr>
        <w:spacing w:before="100" w:beforeAutospacing="1" w:after="100" w:afterAutospacing="1" w:line="360" w:lineRule="auto"/>
        <w:contextualSpacing/>
        <w:jc w:val="both"/>
        <w:rPr>
          <w:rFonts w:ascii="Arial" w:hAnsi="Arial" w:cs="Arial"/>
        </w:rPr>
      </w:pPr>
      <w:r w:rsidRPr="00B92499">
        <w:rPr>
          <w:rFonts w:ascii="Arial" w:hAnsi="Arial" w:cs="Arial"/>
        </w:rPr>
        <w:t>De igual forma, respecto de las 26 fracciones que integran este artículo,</w:t>
      </w:r>
      <w:r w:rsidR="000D67A7" w:rsidRPr="00B92499">
        <w:rPr>
          <w:rFonts w:ascii="Arial" w:hAnsi="Arial" w:cs="Arial"/>
        </w:rPr>
        <w:t xml:space="preserve"> 4 </w:t>
      </w:r>
      <w:r w:rsidRPr="00B92499">
        <w:rPr>
          <w:rFonts w:ascii="Arial" w:hAnsi="Arial" w:cs="Arial"/>
        </w:rPr>
        <w:t>se encuentra</w:t>
      </w:r>
      <w:r w:rsidR="009F734B" w:rsidRPr="00B92499">
        <w:rPr>
          <w:rFonts w:ascii="Arial" w:hAnsi="Arial" w:cs="Arial"/>
        </w:rPr>
        <w:t>n</w:t>
      </w:r>
      <w:r w:rsidRPr="00B92499">
        <w:rPr>
          <w:rFonts w:ascii="Arial" w:hAnsi="Arial" w:cs="Arial"/>
        </w:rPr>
        <w:t xml:space="preserve"> entre 87.19% y 90.86%; 20 se encuentran entre 96.56% y 99.90% y </w:t>
      </w:r>
      <w:r w:rsidR="000D67A7" w:rsidRPr="00B92499">
        <w:rPr>
          <w:rFonts w:ascii="Arial" w:hAnsi="Arial" w:cs="Arial"/>
        </w:rPr>
        <w:t>2</w:t>
      </w:r>
      <w:r w:rsidRPr="00B92499">
        <w:rPr>
          <w:rFonts w:ascii="Arial" w:hAnsi="Arial" w:cs="Arial"/>
        </w:rPr>
        <w:t xml:space="preserve"> con un cumplimiento total. </w:t>
      </w:r>
      <w:r w:rsidR="00940CBA" w:rsidRPr="00B92499">
        <w:rPr>
          <w:rFonts w:ascii="Arial" w:hAnsi="Arial" w:cs="Arial"/>
        </w:rPr>
        <w:t>En esta línea, las</w:t>
      </w:r>
      <w:r w:rsidR="000D67A7" w:rsidRPr="00B92499">
        <w:rPr>
          <w:rFonts w:ascii="Arial" w:hAnsi="Arial" w:cs="Arial"/>
        </w:rPr>
        <w:t xml:space="preserve"> 4 </w:t>
      </w:r>
      <w:r w:rsidR="00940CBA" w:rsidRPr="00B92499">
        <w:rPr>
          <w:rFonts w:ascii="Arial" w:hAnsi="Arial" w:cs="Arial"/>
        </w:rPr>
        <w:t xml:space="preserve">fracciones que tienen una mayor área de oportunidad son las siguientes: </w:t>
      </w:r>
    </w:p>
    <w:p w14:paraId="1F92C2C1" w14:textId="2753DE5F" w:rsidR="00EE5F08" w:rsidRPr="00B92499" w:rsidRDefault="00940CBA" w:rsidP="00846BF4">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846BF4" w:rsidRPr="00B92499">
        <w:rPr>
          <w:rFonts w:ascii="Arial" w:hAnsi="Arial" w:cs="Arial"/>
          <w:sz w:val="24"/>
          <w:szCs w:val="24"/>
          <w:lang w:val="es-ES_tradnl"/>
        </w:rPr>
        <w:t>XVI</w:t>
      </w:r>
      <w:r w:rsidRPr="00B92499">
        <w:rPr>
          <w:rFonts w:ascii="Arial" w:hAnsi="Arial" w:cs="Arial"/>
          <w:sz w:val="24"/>
          <w:szCs w:val="24"/>
          <w:lang w:val="es-ES_tradnl"/>
        </w:rPr>
        <w:t xml:space="preserve">, con un ICP de </w:t>
      </w:r>
      <w:r w:rsidR="00846BF4" w:rsidRPr="00B92499">
        <w:rPr>
          <w:rFonts w:ascii="Arial" w:hAnsi="Arial" w:cs="Arial"/>
          <w:sz w:val="24"/>
          <w:szCs w:val="24"/>
          <w:lang w:val="es-ES_tradnl"/>
        </w:rPr>
        <w:t>87.19</w:t>
      </w:r>
      <w:r w:rsidRPr="00B92499">
        <w:rPr>
          <w:rFonts w:ascii="Arial" w:hAnsi="Arial" w:cs="Arial"/>
          <w:sz w:val="24"/>
          <w:szCs w:val="24"/>
          <w:lang w:val="es-ES_tradnl"/>
        </w:rPr>
        <w:t xml:space="preserve">% </w:t>
      </w:r>
      <w:r w:rsidR="00846BF4" w:rsidRPr="00B92499">
        <w:rPr>
          <w:rFonts w:ascii="Arial" w:hAnsi="Arial" w:cs="Arial"/>
          <w:sz w:val="24"/>
          <w:szCs w:val="24"/>
          <w:lang w:val="es-ES_tradnl"/>
        </w:rPr>
        <w:t>la cual consiste en la publicación de la relación de constancias, certificados, permisos, licencias, autorizaciones y dictámenes de obras que se llevan a cabo en cada una de las demarcaciones territorial</w:t>
      </w:r>
      <w:r w:rsidR="009F734B" w:rsidRPr="00B92499">
        <w:rPr>
          <w:rFonts w:ascii="Arial" w:hAnsi="Arial" w:cs="Arial"/>
          <w:sz w:val="24"/>
          <w:szCs w:val="24"/>
          <w:lang w:val="es-ES_tradnl"/>
        </w:rPr>
        <w:t>es</w:t>
      </w:r>
      <w:r w:rsidR="00846BF4" w:rsidRPr="00B92499">
        <w:rPr>
          <w:rFonts w:ascii="Arial" w:hAnsi="Arial" w:cs="Arial"/>
          <w:sz w:val="24"/>
          <w:szCs w:val="24"/>
          <w:lang w:val="es-ES_tradnl"/>
        </w:rPr>
        <w:t>. El área de oportunidad de las Secretarías respecto de esta fracción es</w:t>
      </w:r>
      <w:r w:rsidR="003C285F" w:rsidRPr="00B92499">
        <w:rPr>
          <w:rFonts w:ascii="Arial" w:hAnsi="Arial" w:cs="Arial"/>
          <w:sz w:val="24"/>
          <w:szCs w:val="24"/>
          <w:lang w:val="es-ES_tradnl"/>
        </w:rPr>
        <w:t xml:space="preserve"> publicar y actualizar la información correspondiente, así como conservar la información de los ejercicios anteriores. </w:t>
      </w:r>
    </w:p>
    <w:p w14:paraId="096A3ADB" w14:textId="19687082" w:rsidR="00EE5F08" w:rsidRPr="00B92499" w:rsidRDefault="00940CBA" w:rsidP="00846BF4">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XIII, con un ICP de </w:t>
      </w:r>
      <w:r w:rsidR="00846BF4" w:rsidRPr="00B92499">
        <w:rPr>
          <w:rFonts w:ascii="Arial" w:hAnsi="Arial" w:cs="Arial"/>
          <w:sz w:val="24"/>
          <w:szCs w:val="24"/>
          <w:lang w:val="es-ES_tradnl"/>
        </w:rPr>
        <w:t>87.40</w:t>
      </w:r>
      <w:r w:rsidRPr="00B92499">
        <w:rPr>
          <w:rFonts w:ascii="Arial" w:hAnsi="Arial" w:cs="Arial"/>
          <w:sz w:val="24"/>
          <w:szCs w:val="24"/>
          <w:lang w:val="es-ES_tradnl"/>
        </w:rPr>
        <w:t xml:space="preserve">% la cual versa sobre los convenios de coordinación con la Federación, Entidades Federativas y Municipios, y de concentración con los sectores sociales y privados, señalando el objetivo, la partes y el tiempo de duración. </w:t>
      </w:r>
      <w:r w:rsidR="00846BF4" w:rsidRPr="00B92499">
        <w:rPr>
          <w:rFonts w:ascii="Arial" w:hAnsi="Arial" w:cs="Arial"/>
          <w:sz w:val="24"/>
          <w:szCs w:val="24"/>
          <w:lang w:val="es-ES_tradnl"/>
        </w:rPr>
        <w:t>El área de oportunidad de las Secretarías respecto de esta fracción es</w:t>
      </w:r>
      <w:r w:rsidR="003C285F" w:rsidRPr="00B92499">
        <w:rPr>
          <w:rFonts w:ascii="Arial" w:hAnsi="Arial" w:cs="Arial"/>
          <w:sz w:val="24"/>
          <w:szCs w:val="24"/>
          <w:lang w:val="es-ES_tradnl"/>
        </w:rPr>
        <w:t xml:space="preserve"> publicar y actualizar la información correspondiente, así como conservar la información de los ejercicios anteriores.</w:t>
      </w:r>
    </w:p>
    <w:p w14:paraId="5635676B" w14:textId="5E0B88C0" w:rsidR="00EE5F08" w:rsidRPr="00B92499" w:rsidRDefault="00940CBA" w:rsidP="00846BF4">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846BF4" w:rsidRPr="00B92499">
        <w:rPr>
          <w:rFonts w:ascii="Arial" w:hAnsi="Arial" w:cs="Arial"/>
          <w:sz w:val="24"/>
          <w:szCs w:val="24"/>
          <w:lang w:val="es-ES_tradnl"/>
        </w:rPr>
        <w:t>VII</w:t>
      </w:r>
      <w:r w:rsidRPr="00B92499">
        <w:rPr>
          <w:rFonts w:ascii="Arial" w:hAnsi="Arial" w:cs="Arial"/>
          <w:sz w:val="24"/>
          <w:szCs w:val="24"/>
          <w:lang w:val="es-ES_tradnl"/>
        </w:rPr>
        <w:t xml:space="preserve">I, con un ICP de </w:t>
      </w:r>
      <w:r w:rsidR="00846BF4" w:rsidRPr="00B92499">
        <w:rPr>
          <w:rFonts w:ascii="Arial" w:hAnsi="Arial" w:cs="Arial"/>
          <w:sz w:val="24"/>
          <w:szCs w:val="24"/>
          <w:lang w:val="es-ES_tradnl"/>
        </w:rPr>
        <w:t>87.50</w:t>
      </w:r>
      <w:r w:rsidRPr="00B92499">
        <w:rPr>
          <w:rFonts w:ascii="Arial" w:hAnsi="Arial" w:cs="Arial"/>
          <w:sz w:val="24"/>
          <w:szCs w:val="24"/>
          <w:lang w:val="es-ES_tradnl"/>
        </w:rPr>
        <w:t xml:space="preserve">%, </w:t>
      </w:r>
      <w:r w:rsidR="00846BF4" w:rsidRPr="00B92499">
        <w:rPr>
          <w:rFonts w:ascii="Arial" w:hAnsi="Arial" w:cs="Arial"/>
          <w:sz w:val="24"/>
          <w:szCs w:val="24"/>
          <w:lang w:val="es-ES_tradnl"/>
        </w:rPr>
        <w:t>la cual mandata la publicación de las disposiciones administrativas, directamente o a través de la autoridad competente. El área de oportunidad de las Secretarías respecto de esta fracción es</w:t>
      </w:r>
      <w:r w:rsidR="003C285F" w:rsidRPr="00B92499">
        <w:rPr>
          <w:rFonts w:ascii="Arial" w:hAnsi="Arial" w:cs="Arial"/>
          <w:sz w:val="24"/>
          <w:szCs w:val="24"/>
          <w:lang w:val="es-ES_tradnl"/>
        </w:rPr>
        <w:t xml:space="preserve"> publicar y actualizar la información correspondiente.</w:t>
      </w:r>
    </w:p>
    <w:p w14:paraId="37D426A1" w14:textId="71D41CFF" w:rsidR="004B6BFD" w:rsidRPr="00B92499" w:rsidRDefault="00940CBA" w:rsidP="00846BF4">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846BF4" w:rsidRPr="00B92499">
        <w:rPr>
          <w:rFonts w:ascii="Arial" w:hAnsi="Arial" w:cs="Arial"/>
          <w:sz w:val="24"/>
          <w:szCs w:val="24"/>
          <w:lang w:val="es-ES_tradnl"/>
        </w:rPr>
        <w:t>XVIII</w:t>
      </w:r>
      <w:r w:rsidRPr="00B92499">
        <w:rPr>
          <w:rFonts w:ascii="Arial" w:hAnsi="Arial" w:cs="Arial"/>
          <w:sz w:val="24"/>
          <w:szCs w:val="24"/>
          <w:lang w:val="es-ES_tradnl"/>
        </w:rPr>
        <w:t xml:space="preserve">, con un ICP de </w:t>
      </w:r>
      <w:r w:rsidR="00846BF4" w:rsidRPr="00B92499">
        <w:rPr>
          <w:rFonts w:ascii="Arial" w:hAnsi="Arial" w:cs="Arial"/>
          <w:sz w:val="24"/>
          <w:szCs w:val="24"/>
          <w:lang w:val="es-ES_tradnl"/>
        </w:rPr>
        <w:t>90.86</w:t>
      </w:r>
      <w:r w:rsidRPr="00B92499">
        <w:rPr>
          <w:rFonts w:ascii="Arial" w:hAnsi="Arial" w:cs="Arial"/>
          <w:sz w:val="24"/>
          <w:szCs w:val="24"/>
          <w:lang w:val="es-ES_tradnl"/>
        </w:rPr>
        <w:t xml:space="preserve">%, </w:t>
      </w:r>
      <w:r w:rsidR="00846BF4" w:rsidRPr="00B92499">
        <w:rPr>
          <w:rFonts w:ascii="Arial" w:hAnsi="Arial" w:cs="Arial"/>
          <w:sz w:val="24"/>
          <w:szCs w:val="24"/>
          <w:lang w:val="es-ES_tradnl"/>
        </w:rPr>
        <w:t>en la cual es señalada la obligación de publicar los usos de suelo a través de mapas y planos georreferenciados</w:t>
      </w:r>
      <w:r w:rsidRPr="00B92499">
        <w:rPr>
          <w:rFonts w:ascii="Arial" w:hAnsi="Arial" w:cs="Arial"/>
          <w:sz w:val="24"/>
          <w:szCs w:val="24"/>
          <w:lang w:val="es-ES_tradnl"/>
        </w:rPr>
        <w:t xml:space="preserve">. </w:t>
      </w:r>
      <w:r w:rsidR="00846BF4" w:rsidRPr="00B92499">
        <w:rPr>
          <w:rFonts w:ascii="Arial" w:hAnsi="Arial" w:cs="Arial"/>
          <w:sz w:val="24"/>
          <w:szCs w:val="24"/>
          <w:lang w:val="es-ES_tradnl"/>
        </w:rPr>
        <w:t>El área de oportunidad de las Secretarías respecto de esta fracción es</w:t>
      </w:r>
      <w:r w:rsidR="003C285F" w:rsidRPr="00B92499">
        <w:rPr>
          <w:rFonts w:ascii="Arial" w:hAnsi="Arial" w:cs="Arial"/>
          <w:sz w:val="24"/>
          <w:szCs w:val="24"/>
          <w:lang w:val="es-ES_tradnl"/>
        </w:rPr>
        <w:t xml:space="preserve"> publicar y actualizar la información correspondiente o en el caso de no generar la misma, fundar y motivar la no generación a través de una nota.</w:t>
      </w:r>
    </w:p>
    <w:p w14:paraId="60DAC720" w14:textId="0DBD5A93"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lastRenderedPageBreak/>
        <w:t xml:space="preserve">De igual forma, las </w:t>
      </w:r>
      <w:r w:rsidR="000D67A7" w:rsidRPr="00B92499">
        <w:rPr>
          <w:rFonts w:ascii="Arial" w:hAnsi="Arial" w:cs="Arial"/>
        </w:rPr>
        <w:t>2</w:t>
      </w:r>
      <w:r w:rsidRPr="00B92499">
        <w:rPr>
          <w:rFonts w:ascii="Arial" w:hAnsi="Arial" w:cs="Arial"/>
        </w:rPr>
        <w:t xml:space="preserve"> fracciones con un ICP </w:t>
      </w:r>
      <w:r w:rsidR="00846BF4" w:rsidRPr="00B92499">
        <w:rPr>
          <w:rFonts w:ascii="Arial" w:hAnsi="Arial" w:cs="Arial"/>
        </w:rPr>
        <w:t>de 100</w:t>
      </w:r>
      <w:r w:rsidRPr="00B92499">
        <w:rPr>
          <w:rFonts w:ascii="Arial" w:hAnsi="Arial" w:cs="Arial"/>
        </w:rPr>
        <w:t>% son las que se detallan a continuación:</w:t>
      </w:r>
    </w:p>
    <w:p w14:paraId="44161242" w14:textId="22EAFF55" w:rsidR="00940CBA" w:rsidRPr="00B92499" w:rsidRDefault="00940CBA" w:rsidP="002E7D47">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I, consistente </w:t>
      </w:r>
      <w:r w:rsidR="00846BF4" w:rsidRPr="00B92499">
        <w:rPr>
          <w:rFonts w:ascii="Arial" w:hAnsi="Arial" w:cs="Arial"/>
          <w:sz w:val="24"/>
          <w:szCs w:val="24"/>
          <w:lang w:val="es-ES_tradnl"/>
        </w:rPr>
        <w:t xml:space="preserve">en la publicación de las iniciativas de leyes o decretos y demás disposiciones generales o particulares en materia administrativa. </w:t>
      </w:r>
    </w:p>
    <w:p w14:paraId="3D25BE9A" w14:textId="77777777" w:rsidR="00E46046" w:rsidRPr="00B92499" w:rsidRDefault="00940CBA" w:rsidP="00E46046">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846BF4" w:rsidRPr="00B92499">
        <w:rPr>
          <w:rFonts w:ascii="Arial" w:hAnsi="Arial" w:cs="Arial"/>
          <w:sz w:val="24"/>
          <w:szCs w:val="24"/>
          <w:lang w:val="es-ES_tradnl"/>
        </w:rPr>
        <w:t>XVII</w:t>
      </w:r>
      <w:r w:rsidRPr="00B92499">
        <w:rPr>
          <w:rFonts w:ascii="Arial" w:hAnsi="Arial" w:cs="Arial"/>
          <w:sz w:val="24"/>
          <w:szCs w:val="24"/>
          <w:lang w:val="es-ES_tradnl"/>
        </w:rPr>
        <w:t>,</w:t>
      </w:r>
      <w:r w:rsidR="00846BF4" w:rsidRPr="00B92499">
        <w:rPr>
          <w:rFonts w:ascii="Arial" w:hAnsi="Arial" w:cs="Arial"/>
          <w:sz w:val="24"/>
          <w:szCs w:val="24"/>
          <w:lang w:val="es-ES_tradnl"/>
        </w:rPr>
        <w:t xml:space="preserve"> en la que se mandata la publicación de los recursos remanentes de los ejercicios fiscales anteriores, así como su aplicación específica.</w:t>
      </w:r>
    </w:p>
    <w:p w14:paraId="6E589308" w14:textId="483C534E" w:rsidR="00E46046" w:rsidRPr="00B92499" w:rsidRDefault="00E46046" w:rsidP="00E46046">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w:t>
      </w:r>
      <w:r w:rsidR="00BD5AFE" w:rsidRPr="00B92499">
        <w:rPr>
          <w:rFonts w:ascii="Arial" w:hAnsi="Arial" w:cs="Arial"/>
        </w:rPr>
        <w:t>3</w:t>
      </w:r>
      <w:r w:rsidRPr="00B92499">
        <w:rPr>
          <w:rFonts w:ascii="Arial" w:hAnsi="Arial" w:cs="Arial"/>
        </w:rPr>
        <w:t xml:space="preserve"> es presentada la siguiente tabla ordenada de forma descendente.</w:t>
      </w:r>
    </w:p>
    <w:tbl>
      <w:tblPr>
        <w:tblW w:w="8927" w:type="dxa"/>
        <w:tblCellMar>
          <w:left w:w="70" w:type="dxa"/>
          <w:right w:w="70" w:type="dxa"/>
        </w:tblCellMar>
        <w:tblLook w:val="04A0" w:firstRow="1" w:lastRow="0" w:firstColumn="1" w:lastColumn="0" w:noHBand="0" w:noVBand="1"/>
      </w:tblPr>
      <w:tblGrid>
        <w:gridCol w:w="974"/>
        <w:gridCol w:w="7246"/>
        <w:gridCol w:w="707"/>
      </w:tblGrid>
      <w:tr w:rsidR="00E46046" w:rsidRPr="00B92499" w14:paraId="3F317DAE" w14:textId="77777777" w:rsidTr="00B012BD">
        <w:trPr>
          <w:trHeight w:val="20"/>
          <w:tblHeader/>
        </w:trPr>
        <w:tc>
          <w:tcPr>
            <w:tcW w:w="8927"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70D959D" w14:textId="77FD3DC1" w:rsidR="00E46046" w:rsidRPr="00B92499" w:rsidRDefault="00E46046" w:rsidP="00B012BD">
            <w:pPr>
              <w:jc w:val="center"/>
              <w:rPr>
                <w:rFonts w:ascii="Arial" w:hAnsi="Arial" w:cs="Arial"/>
                <w:b/>
                <w:bCs/>
                <w:color w:val="000000"/>
                <w:sz w:val="20"/>
                <w:szCs w:val="20"/>
              </w:rPr>
            </w:pPr>
            <w:r w:rsidRPr="00B92499">
              <w:rPr>
                <w:rFonts w:ascii="Arial" w:hAnsi="Arial" w:cs="Arial"/>
                <w:b/>
                <w:bCs/>
                <w:color w:val="000000"/>
                <w:sz w:val="20"/>
                <w:szCs w:val="20"/>
              </w:rPr>
              <w:t xml:space="preserve">Artículo 123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E46046" w:rsidRPr="00B92499" w14:paraId="5BD159E8" w14:textId="77777777" w:rsidTr="00E46046">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68AF4749" w14:textId="77777777" w:rsidR="00E46046" w:rsidRPr="00B92499" w:rsidRDefault="00E46046" w:rsidP="00B012BD">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274EBBE0" w14:textId="77777777" w:rsidR="00E46046" w:rsidRPr="00B92499" w:rsidRDefault="00E46046" w:rsidP="00B012BD">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770" w:type="dxa"/>
            <w:tcBorders>
              <w:top w:val="nil"/>
              <w:left w:val="nil"/>
              <w:bottom w:val="single" w:sz="4" w:space="0" w:color="auto"/>
              <w:right w:val="single" w:sz="4" w:space="0" w:color="auto"/>
            </w:tcBorders>
            <w:shd w:val="clear" w:color="auto" w:fill="00B0F0"/>
            <w:vAlign w:val="center"/>
            <w:hideMark/>
          </w:tcPr>
          <w:p w14:paraId="128A39A0" w14:textId="77777777" w:rsidR="00E46046" w:rsidRPr="00B92499" w:rsidRDefault="00E46046" w:rsidP="00B012BD">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E46046" w:rsidRPr="00B92499" w14:paraId="714A0995"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7D56E2"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147B0142" w14:textId="5957ECCC"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Las iniciativas de leyes o decretos y demás disposiciones generales o particulares en materia administrativa</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4DEBFCB2" w14:textId="7B61D759" w:rsidR="00E46046" w:rsidRPr="00B92499" w:rsidRDefault="00E46046" w:rsidP="00516AA8">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E46046" w:rsidRPr="00B92499" w14:paraId="6D619DFE"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5E9FED"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092A1840" w14:textId="1D242F5E"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recursos remanentes de los ejercicios fiscales anteriores, así como su aplicación específica</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2EF0F7DD" w14:textId="738F71FB" w:rsidR="00E46046" w:rsidRPr="00B92499" w:rsidRDefault="00E46046" w:rsidP="00516AA8">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E46046" w:rsidRPr="00B92499" w14:paraId="62FC2DC4"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F708C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24182BD5" w14:textId="1B3E44D8"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 información que sea de utilidad o resulte relevante para el conocimiento y evaluación de las funciones y políticas públicas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4E56620B"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99.90 </w:t>
            </w:r>
          </w:p>
        </w:tc>
      </w:tr>
      <w:tr w:rsidR="00E46046" w:rsidRPr="00B92499" w14:paraId="776D286E"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749603"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36ABDAD1" w14:textId="3EE3DF6C"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Información sobre las tarifas del suministro de agua potable según los diferentes usos doméstico, no doméstico y mixto por Colonia y Delegación</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9F642CA"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99.84 </w:t>
            </w:r>
          </w:p>
        </w:tc>
      </w:tr>
      <w:tr w:rsidR="00E46046" w:rsidRPr="00B92499" w14:paraId="5795A76F"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B4F747"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067F2741" w14:textId="072F3166"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El listado de expropiaciones decretadas y ejecutadas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57118E87"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259F0C3C"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4537B9"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31778B5A" w14:textId="0BF28A46"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 xml:space="preserve">El listado de las personas que han recibido exenciones, condonaciones o cancelaciones de impuestos locales. </w:t>
            </w:r>
          </w:p>
        </w:tc>
        <w:tc>
          <w:tcPr>
            <w:tcW w:w="770" w:type="dxa"/>
            <w:tcBorders>
              <w:top w:val="nil"/>
              <w:left w:val="nil"/>
              <w:bottom w:val="single" w:sz="4" w:space="0" w:color="auto"/>
              <w:right w:val="single" w:sz="4" w:space="0" w:color="auto"/>
            </w:tcBorders>
            <w:shd w:val="clear" w:color="auto" w:fill="auto"/>
            <w:vAlign w:val="center"/>
            <w:hideMark/>
          </w:tcPr>
          <w:p w14:paraId="5229B8B0"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313AA1DC"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A51A88"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15F7D137" w14:textId="77777777"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El listado de patentes de corredores y notarios públicos otorgadas, en términos de la Ley respectiva.</w:t>
            </w:r>
          </w:p>
        </w:tc>
        <w:tc>
          <w:tcPr>
            <w:tcW w:w="770" w:type="dxa"/>
            <w:tcBorders>
              <w:top w:val="nil"/>
              <w:left w:val="nil"/>
              <w:bottom w:val="single" w:sz="4" w:space="0" w:color="auto"/>
              <w:right w:val="single" w:sz="4" w:space="0" w:color="auto"/>
            </w:tcBorders>
            <w:shd w:val="clear" w:color="auto" w:fill="auto"/>
            <w:vAlign w:val="center"/>
            <w:hideMark/>
          </w:tcPr>
          <w:p w14:paraId="5F21DD7B"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0A696D8A"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603729"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5330E940" w14:textId="07F5A760"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 información detallada que contengan los planes de desarrollo urbano, ordenamiento territorial y ecológico, los tipos y usos de suelo, licencias de uso y construcción otorgadas por el Gobierno de la Ciudad de México</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16710F6C"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5F5B099F"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9C0FAB"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4311C001" w14:textId="6315AE44"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reglamentos de las leyes expedidos en ejercicio de sus atribuciones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1AFFB8A3"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7446AF98"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8D12BF"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3914F823" w14:textId="7622B762"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Sistema electrónico con el uso de un tabulador que permita consultar el cobro de impuestos, servicios, derechos y aprovechamientos, así como el total de las cantidades recibidas por estos conceptos, así como informes de avance trimestral de dichos ingresos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4802CE1"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00351C26"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CB3DCC"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4E0EA462" w14:textId="2CE21C92"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 georreferenciación e imagen de todas las obras públicas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22C5254F"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375DD317"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85861F"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6D76FC19" w14:textId="796ECB27"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Un listado de los títulos y las empresas concesionarias que participan en la gestión del agua</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08B23311"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2B7C554B"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77F0E0"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05607AD9" w14:textId="2A748743"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Información trimestral sobre la calidad del agua de la ciudad</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61559685"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99.69 </w:t>
            </w:r>
          </w:p>
        </w:tc>
      </w:tr>
      <w:tr w:rsidR="00E46046" w:rsidRPr="00B92499" w14:paraId="74ED9DE3"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E0E41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5D9AB831" w14:textId="5375E4FD"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En materia de investigación de los delitos, estadísticas sobre el número de averiguaciones previas o carpetas de investigación</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13992358"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98.44 </w:t>
            </w:r>
          </w:p>
        </w:tc>
      </w:tr>
      <w:tr w:rsidR="00E46046" w:rsidRPr="00B92499" w14:paraId="1799F6BF"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CF1323"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551E015A" w14:textId="6CDE9AF8"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 xml:space="preserve">El Programa General de Desarrollo de la Ciudad de México vinculado con los programas operativos anuales y los respectivos indicadores de gestión que </w:t>
            </w:r>
            <w:r w:rsidRPr="00B92499">
              <w:rPr>
                <w:rFonts w:ascii="Arial" w:hAnsi="Arial" w:cs="Arial"/>
                <w:color w:val="000000"/>
                <w:sz w:val="20"/>
                <w:szCs w:val="20"/>
              </w:rPr>
              <w:lastRenderedPageBreak/>
              <w:t>permitan conocer las metas, así como los avances físico y financiero. Sobre los indicadores de gestión se deberá difundir, además, el método de evaluación con una justificación de los resultados obtenidos y el monto de los recursos públicos asignados para su cumplimiento</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B26B927"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lastRenderedPageBreak/>
              <w:t xml:space="preserve">                 97.76 </w:t>
            </w:r>
          </w:p>
        </w:tc>
      </w:tr>
      <w:tr w:rsidR="00E46046" w:rsidRPr="00B92499" w14:paraId="5568B106"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9BAE52"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577B245A" w14:textId="32EC0CDD"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Las manifestaciones de impacto ambiental</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2A2E831D"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97.45 </w:t>
            </w:r>
          </w:p>
        </w:tc>
      </w:tr>
      <w:tr w:rsidR="00E46046" w:rsidRPr="00B92499" w14:paraId="75B4EB25"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5C039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61021AC8" w14:textId="24B63C00"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resultados de estudios de calidad del aire</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28CA589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97.45 </w:t>
            </w:r>
          </w:p>
        </w:tc>
      </w:tr>
      <w:tr w:rsidR="00E46046" w:rsidRPr="00B92499" w14:paraId="31911766"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ADF24A"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0434C080" w14:textId="7E288AF0"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mecanismos e informes de supervisión del desempeño de las empresas concesionarias que participan en la gestión del agua</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6C9AA2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97.37 </w:t>
            </w:r>
          </w:p>
        </w:tc>
      </w:tr>
      <w:tr w:rsidR="00E46046" w:rsidRPr="00B92499" w14:paraId="51BD4E74"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3B6252"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4F37BB74" w14:textId="74670934"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Las cantidades recibidas por concepto de multas y servicios de grúa y almacenamiento de vehículos, en su caso, así como el destino al que se aplicaron</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281F3EEA"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97.11 </w:t>
            </w:r>
          </w:p>
        </w:tc>
      </w:tr>
      <w:tr w:rsidR="00E46046" w:rsidRPr="00B92499" w14:paraId="11A2987E"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77A1DD"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16898071" w14:textId="2FD8FF03"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Un listado de las oficinas del Registro Civil en la Ciudad de México, incluyendo su ubicación, el currículum y antigüedad en el cargo de los oficiales o titulares y las estadísticas de los trámites que realice</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34112AC5"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97.11 </w:t>
            </w:r>
          </w:p>
        </w:tc>
      </w:tr>
      <w:tr w:rsidR="00E46046" w:rsidRPr="00B92499" w14:paraId="0146CFC6"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C0D3D8"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718BD68A" w14:textId="32BBD7F4"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Estadísticas e índices delictivos, así como los indicadores de la procuración de justicia</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1CB25A81"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96.56 </w:t>
            </w:r>
          </w:p>
        </w:tc>
      </w:tr>
      <w:tr w:rsidR="00E46046" w:rsidRPr="00B92499" w14:paraId="27D54872"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9D884B"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7A8262E9" w14:textId="6B587884"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El presupuesto de egresos y las fórmulas de distribución de los recursos otorgados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7197CCA"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96.51 </w:t>
            </w:r>
          </w:p>
        </w:tc>
      </w:tr>
      <w:tr w:rsidR="00E46046" w:rsidRPr="00B92499" w14:paraId="61B4F158"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49090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58EBC2DB" w14:textId="42C5FB74"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usos de suelo a través de mapas y planos georreferenciados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679F34AE"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90.86 </w:t>
            </w:r>
          </w:p>
        </w:tc>
      </w:tr>
      <w:tr w:rsidR="00E46046" w:rsidRPr="00B92499" w14:paraId="2DF9CD6D"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9B99A7"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6D628FF4" w14:textId="4D2A0271"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Las disposiciones administrativas, directamente o a través de la autoridad competente</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939803E"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87.50 </w:t>
            </w:r>
          </w:p>
        </w:tc>
      </w:tr>
      <w:tr w:rsidR="00E46046" w:rsidRPr="00B92499" w14:paraId="3FFE4009" w14:textId="77777777" w:rsidTr="00E4604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4A8EA9"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3E4FCED9" w14:textId="404C60CA"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Los convenios de coordinación con la Federación, Entidades Federativas y Municipios, y de concertación con los sectores social y privado</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16BF326D"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87.40 </w:t>
            </w:r>
          </w:p>
        </w:tc>
      </w:tr>
      <w:tr w:rsidR="00E46046" w:rsidRPr="00B92499" w14:paraId="53FA310B" w14:textId="77777777" w:rsidTr="00BD5AFE">
        <w:trPr>
          <w:trHeight w:val="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EB7B34"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3FE23CE0" w14:textId="5FAC99D1" w:rsidR="00E46046" w:rsidRPr="00B92499" w:rsidRDefault="00E46046" w:rsidP="00BD5AFE">
            <w:pPr>
              <w:jc w:val="both"/>
              <w:rPr>
                <w:rFonts w:ascii="Arial" w:hAnsi="Arial" w:cs="Arial"/>
                <w:color w:val="000000"/>
                <w:sz w:val="20"/>
                <w:szCs w:val="20"/>
              </w:rPr>
            </w:pPr>
            <w:r w:rsidRPr="00B92499">
              <w:rPr>
                <w:rFonts w:ascii="Arial" w:hAnsi="Arial" w:cs="Arial"/>
                <w:color w:val="000000"/>
                <w:sz w:val="20"/>
                <w:szCs w:val="20"/>
              </w:rPr>
              <w:t>Relación de constancias, certificados, permisos, licencias, autorizaciones, certificaciones de uso de suelo, registro de manifestaciones y dictámenes de las obras que se llevan a cabo en cada una de las demarcaciones territoriales</w:t>
            </w:r>
            <w:r w:rsidR="00BD5AFE"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6546460C" w14:textId="77777777" w:rsidR="00E46046" w:rsidRPr="00B92499" w:rsidRDefault="00E46046">
            <w:pPr>
              <w:jc w:val="center"/>
              <w:rPr>
                <w:rFonts w:ascii="Arial" w:hAnsi="Arial" w:cs="Arial"/>
                <w:color w:val="000000"/>
                <w:sz w:val="20"/>
                <w:szCs w:val="20"/>
              </w:rPr>
            </w:pPr>
            <w:r w:rsidRPr="00B92499">
              <w:rPr>
                <w:rFonts w:ascii="Arial" w:hAnsi="Arial" w:cs="Arial"/>
                <w:color w:val="000000"/>
                <w:sz w:val="20"/>
                <w:szCs w:val="20"/>
              </w:rPr>
              <w:t xml:space="preserve">                 87.19 </w:t>
            </w:r>
          </w:p>
        </w:tc>
      </w:tr>
    </w:tbl>
    <w:p w14:paraId="217E5B5D" w14:textId="77777777" w:rsidR="00E46046" w:rsidRPr="00B92499" w:rsidRDefault="00E46046" w:rsidP="00E46046">
      <w:pPr>
        <w:spacing w:before="100" w:beforeAutospacing="1" w:after="100" w:afterAutospacing="1" w:line="360" w:lineRule="auto"/>
        <w:jc w:val="both"/>
        <w:rPr>
          <w:rFonts w:ascii="Arial" w:hAnsi="Arial" w:cs="Arial"/>
        </w:rPr>
      </w:pPr>
    </w:p>
    <w:p w14:paraId="364FB5D9" w14:textId="771DF540" w:rsidR="00EE5F08" w:rsidRPr="00B92499" w:rsidRDefault="00940CBA" w:rsidP="009F64B5">
      <w:pPr>
        <w:pStyle w:val="Ttulo3"/>
        <w:numPr>
          <w:ilvl w:val="2"/>
          <w:numId w:val="7"/>
        </w:numPr>
        <w:contextualSpacing/>
        <w:jc w:val="both"/>
        <w:rPr>
          <w:rFonts w:ascii="Arial" w:hAnsi="Arial" w:cs="Arial"/>
          <w:b/>
          <w:color w:val="auto"/>
        </w:rPr>
      </w:pPr>
      <w:bookmarkStart w:id="15" w:name="_Toc23252973"/>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143</w:t>
      </w:r>
      <w:bookmarkEnd w:id="15"/>
    </w:p>
    <w:p w14:paraId="2B00236B" w14:textId="2B0BE563"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este </w:t>
      </w:r>
      <w:r w:rsidR="00A64325" w:rsidRPr="00B92499">
        <w:rPr>
          <w:rFonts w:ascii="Arial" w:hAnsi="Arial" w:cs="Arial"/>
        </w:rPr>
        <w:t>ámbito</w:t>
      </w:r>
      <w:r w:rsidRPr="00B92499">
        <w:rPr>
          <w:rFonts w:ascii="Arial" w:hAnsi="Arial" w:cs="Arial"/>
        </w:rPr>
        <w:t xml:space="preserve">alcanzaron un ICP de </w:t>
      </w:r>
      <w:r w:rsidR="00E46046" w:rsidRPr="00B92499">
        <w:rPr>
          <w:rFonts w:ascii="Arial" w:hAnsi="Arial" w:cs="Arial"/>
        </w:rPr>
        <w:t>99.69</w:t>
      </w:r>
      <w:r w:rsidRPr="00B92499">
        <w:rPr>
          <w:rFonts w:ascii="Arial" w:hAnsi="Arial" w:cs="Arial"/>
        </w:rPr>
        <w:t xml:space="preserve">%; ya que </w:t>
      </w:r>
      <w:r w:rsidR="00E46046" w:rsidRPr="00B92499">
        <w:rPr>
          <w:rFonts w:ascii="Arial" w:hAnsi="Arial" w:cs="Arial"/>
        </w:rPr>
        <w:t>7</w:t>
      </w:r>
      <w:r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cumplieron totalmente,</w:t>
      </w:r>
      <w:r w:rsidR="00E46046" w:rsidRPr="00B92499">
        <w:rPr>
          <w:rFonts w:ascii="Arial" w:hAnsi="Arial" w:cs="Arial"/>
        </w:rPr>
        <w:t xml:space="preserve"> y</w:t>
      </w:r>
      <w:r w:rsidR="009F734B" w:rsidRPr="00B92499">
        <w:rPr>
          <w:rFonts w:ascii="Arial" w:hAnsi="Arial" w:cs="Arial"/>
        </w:rPr>
        <w:t xml:space="preserve"> la</w:t>
      </w:r>
      <w:r w:rsidR="00E46046" w:rsidRPr="00B92499">
        <w:rPr>
          <w:rFonts w:ascii="Arial" w:hAnsi="Arial" w:cs="Arial"/>
        </w:rPr>
        <w:t xml:space="preserve"> Secretaría de las Mujeres cumplió parcialmente con un ICP de 97.50%. </w:t>
      </w:r>
      <w:r w:rsidRPr="00B92499">
        <w:rPr>
          <w:rFonts w:ascii="Arial" w:hAnsi="Arial" w:cs="Arial"/>
        </w:rPr>
        <w:t xml:space="preserve">Las ventanas de oportunidad que </w:t>
      </w:r>
      <w:r w:rsidR="00E46046" w:rsidRPr="00B92499">
        <w:rPr>
          <w:rFonts w:ascii="Arial" w:hAnsi="Arial" w:cs="Arial"/>
        </w:rPr>
        <w:t xml:space="preserve">tiene la Secretaría de las Mujeres </w:t>
      </w:r>
      <w:r w:rsidRPr="00B92499">
        <w:rPr>
          <w:rFonts w:ascii="Arial" w:hAnsi="Arial" w:cs="Arial"/>
        </w:rPr>
        <w:t xml:space="preserve">son actualizar la información </w:t>
      </w:r>
      <w:r w:rsidR="00E46046" w:rsidRPr="00B92499">
        <w:rPr>
          <w:rFonts w:ascii="Arial" w:hAnsi="Arial" w:cs="Arial"/>
        </w:rPr>
        <w:t>al segundo trimestre del año 2019</w:t>
      </w:r>
      <w:r w:rsidRPr="00B92499">
        <w:rPr>
          <w:rFonts w:ascii="Arial" w:hAnsi="Arial" w:cs="Arial"/>
        </w:rPr>
        <w:t xml:space="preserve"> y en los casos </w:t>
      </w:r>
      <w:r w:rsidR="00E46046" w:rsidRPr="00B92499">
        <w:rPr>
          <w:rFonts w:ascii="Arial" w:hAnsi="Arial" w:cs="Arial"/>
        </w:rPr>
        <w:t xml:space="preserve">en </w:t>
      </w:r>
      <w:r w:rsidRPr="00B92499">
        <w:rPr>
          <w:rFonts w:ascii="Arial" w:hAnsi="Arial" w:cs="Arial"/>
        </w:rPr>
        <w:t>que no se generó información se funde y motive tal situación</w:t>
      </w:r>
      <w:r w:rsidR="00E46046" w:rsidRPr="00B92499">
        <w:rPr>
          <w:rFonts w:ascii="Arial" w:hAnsi="Arial" w:cs="Arial"/>
        </w:rPr>
        <w:t>,</w:t>
      </w:r>
      <w:r w:rsidRPr="00B92499">
        <w:rPr>
          <w:rFonts w:ascii="Arial" w:hAnsi="Arial" w:cs="Arial"/>
        </w:rPr>
        <w:t xml:space="preserve"> con la finalidad de no dejar en incertidumbre a las personas que consulten la misma. </w:t>
      </w:r>
    </w:p>
    <w:p w14:paraId="1597E41A" w14:textId="53568A5D" w:rsidR="00EE5F08" w:rsidRPr="00B92499" w:rsidRDefault="00940CBA" w:rsidP="009F64B5">
      <w:pPr>
        <w:pStyle w:val="Ttulo3"/>
        <w:numPr>
          <w:ilvl w:val="2"/>
          <w:numId w:val="7"/>
        </w:numPr>
        <w:contextualSpacing/>
        <w:jc w:val="both"/>
        <w:rPr>
          <w:rFonts w:ascii="Arial" w:hAnsi="Arial" w:cs="Arial"/>
          <w:b/>
          <w:color w:val="auto"/>
        </w:rPr>
      </w:pPr>
      <w:bookmarkStart w:id="16" w:name="_Toc23252974"/>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145</w:t>
      </w:r>
      <w:bookmarkEnd w:id="16"/>
    </w:p>
    <w:p w14:paraId="7F166E91" w14:textId="166F5E54"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lo que respecta a este </w:t>
      </w:r>
      <w:r w:rsidR="00E46046" w:rsidRPr="00B92499">
        <w:rPr>
          <w:rFonts w:ascii="Arial" w:hAnsi="Arial" w:cs="Arial"/>
        </w:rPr>
        <w:t>a</w:t>
      </w:r>
      <w:r w:rsidR="009D7771" w:rsidRPr="00B92499">
        <w:rPr>
          <w:rFonts w:ascii="Arial" w:hAnsi="Arial" w:cs="Arial"/>
        </w:rPr>
        <w:t>rtículo</w:t>
      </w:r>
      <w:r w:rsidRPr="00B92499">
        <w:rPr>
          <w:rFonts w:ascii="Arial" w:hAnsi="Arial" w:cs="Arial"/>
        </w:rPr>
        <w:t xml:space="preserve">, la Administración Central obtuvo </w:t>
      </w:r>
      <w:r w:rsidR="00E46046" w:rsidRPr="00B92499">
        <w:rPr>
          <w:rFonts w:ascii="Arial" w:hAnsi="Arial" w:cs="Arial"/>
        </w:rPr>
        <w:t>un cumplimiento total</w:t>
      </w:r>
      <w:r w:rsidRPr="00B92499">
        <w:rPr>
          <w:rFonts w:ascii="Arial" w:hAnsi="Arial" w:cs="Arial"/>
        </w:rPr>
        <w:t xml:space="preserve">. </w:t>
      </w:r>
    </w:p>
    <w:p w14:paraId="75C8A0AB" w14:textId="3A070434" w:rsidR="00EE5F08" w:rsidRPr="00B92499" w:rsidRDefault="00940CBA" w:rsidP="009F64B5">
      <w:pPr>
        <w:pStyle w:val="Ttulo3"/>
        <w:numPr>
          <w:ilvl w:val="2"/>
          <w:numId w:val="7"/>
        </w:numPr>
        <w:contextualSpacing/>
        <w:jc w:val="both"/>
        <w:rPr>
          <w:rFonts w:ascii="Arial" w:hAnsi="Arial" w:cs="Arial"/>
          <w:b/>
          <w:color w:val="auto"/>
        </w:rPr>
      </w:pPr>
      <w:bookmarkStart w:id="17" w:name="_Toc23252975"/>
      <w:r w:rsidRPr="00B92499">
        <w:rPr>
          <w:rFonts w:ascii="Arial" w:hAnsi="Arial" w:cs="Arial"/>
          <w:b/>
          <w:color w:val="auto"/>
        </w:rPr>
        <w:lastRenderedPageBreak/>
        <w:t xml:space="preserve">Análisis del </w:t>
      </w:r>
      <w:r w:rsidR="008F67E4" w:rsidRPr="00B92499">
        <w:rPr>
          <w:rFonts w:ascii="Arial" w:hAnsi="Arial" w:cs="Arial"/>
          <w:b/>
          <w:color w:val="auto"/>
        </w:rPr>
        <w:t>artículo</w:t>
      </w:r>
      <w:r w:rsidRPr="00B92499">
        <w:rPr>
          <w:rFonts w:ascii="Arial" w:hAnsi="Arial" w:cs="Arial"/>
          <w:b/>
          <w:color w:val="auto"/>
        </w:rPr>
        <w:t xml:space="preserve"> 146</w:t>
      </w:r>
      <w:bookmarkEnd w:id="17"/>
    </w:p>
    <w:p w14:paraId="2CC8B17D" w14:textId="58A842AA"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Este </w:t>
      </w:r>
      <w:r w:rsidR="00A64325" w:rsidRPr="00B92499">
        <w:rPr>
          <w:rFonts w:ascii="Arial" w:hAnsi="Arial" w:cs="Arial"/>
        </w:rPr>
        <w:t xml:space="preserve">ámbito </w:t>
      </w:r>
      <w:r w:rsidRPr="00B92499">
        <w:rPr>
          <w:rFonts w:ascii="Arial" w:hAnsi="Arial" w:cs="Arial"/>
        </w:rPr>
        <w:t xml:space="preserve">obtuvo un ICP de </w:t>
      </w:r>
      <w:r w:rsidR="00E46046" w:rsidRPr="00B92499">
        <w:rPr>
          <w:rFonts w:ascii="Arial" w:hAnsi="Arial" w:cs="Arial"/>
        </w:rPr>
        <w:t>87.17</w:t>
      </w:r>
      <w:r w:rsidR="000D67A7" w:rsidRPr="00B92499">
        <w:rPr>
          <w:rFonts w:ascii="Arial" w:hAnsi="Arial" w:cs="Arial"/>
        </w:rPr>
        <w:t xml:space="preserve">%; debido a que 5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cumplieron totalmente con lo establecido en el</w:t>
      </w:r>
      <w:r w:rsidR="00E46046" w:rsidRPr="00B92499">
        <w:rPr>
          <w:rFonts w:ascii="Arial" w:hAnsi="Arial" w:cs="Arial"/>
        </w:rPr>
        <w:t xml:space="preserve"> artículo</w:t>
      </w:r>
      <w:r w:rsidRPr="00B92499">
        <w:rPr>
          <w:rFonts w:ascii="Arial" w:hAnsi="Arial" w:cs="Arial"/>
        </w:rPr>
        <w:t xml:space="preserve">, </w:t>
      </w:r>
      <w:r w:rsidR="000D67A7" w:rsidRPr="00B92499">
        <w:rPr>
          <w:rFonts w:ascii="Arial" w:hAnsi="Arial" w:cs="Arial"/>
        </w:rPr>
        <w:t>1</w:t>
      </w:r>
      <w:r w:rsidR="00E46046" w:rsidRPr="00B92499">
        <w:rPr>
          <w:rFonts w:ascii="Arial" w:hAnsi="Arial" w:cs="Arial"/>
        </w:rPr>
        <w:t xml:space="preserve"> obtuvo un </w:t>
      </w:r>
      <w:r w:rsidRPr="00B92499">
        <w:rPr>
          <w:rFonts w:ascii="Arial" w:hAnsi="Arial" w:cs="Arial"/>
        </w:rPr>
        <w:t>cumplimiento parcial</w:t>
      </w:r>
      <w:r w:rsidR="00E46046" w:rsidRPr="00B92499">
        <w:rPr>
          <w:rFonts w:ascii="Arial" w:hAnsi="Arial" w:cs="Arial"/>
        </w:rPr>
        <w:t xml:space="preserve"> de 99.17%</w:t>
      </w:r>
      <w:r w:rsidRPr="00B92499">
        <w:rPr>
          <w:rFonts w:ascii="Arial" w:hAnsi="Arial" w:cs="Arial"/>
        </w:rPr>
        <w:t>,</w:t>
      </w:r>
      <w:r w:rsidR="000D67A7" w:rsidRPr="00B92499">
        <w:rPr>
          <w:rFonts w:ascii="Arial" w:hAnsi="Arial" w:cs="Arial"/>
        </w:rPr>
        <w:t xml:space="preserve"> y 2</w:t>
      </w:r>
      <w:r w:rsidRPr="00B92499">
        <w:rPr>
          <w:rFonts w:ascii="Arial" w:hAnsi="Arial" w:cs="Arial"/>
        </w:rPr>
        <w:t xml:space="preserve"> un incumplimiento parcial</w:t>
      </w:r>
      <w:r w:rsidR="00E46046" w:rsidRPr="00B92499">
        <w:rPr>
          <w:rFonts w:ascii="Arial" w:hAnsi="Arial" w:cs="Arial"/>
        </w:rPr>
        <w:t xml:space="preserve"> entre el 48.18% y el 50%. </w:t>
      </w:r>
      <w:r w:rsidR="00B015A8" w:rsidRPr="00B92499">
        <w:rPr>
          <w:rFonts w:ascii="Arial" w:hAnsi="Arial" w:cs="Arial"/>
        </w:rPr>
        <w:t>Por</w:t>
      </w:r>
      <w:r w:rsidRPr="00B92499">
        <w:rPr>
          <w:rFonts w:ascii="Arial" w:hAnsi="Arial" w:cs="Arial"/>
        </w:rPr>
        <w:t xml:space="preserve"> lo anterior,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deberán publicar y actualizar la información; puesto que varios no proporcionan el calendario de actualización de la normatividad en materia de las obligaciones de transparencia.  </w:t>
      </w:r>
    </w:p>
    <w:p w14:paraId="560336F7" w14:textId="3A390061" w:rsidR="00EE5F08" w:rsidRPr="00B92499" w:rsidRDefault="00940CBA" w:rsidP="009F64B5">
      <w:pPr>
        <w:pStyle w:val="Ttulo3"/>
        <w:numPr>
          <w:ilvl w:val="2"/>
          <w:numId w:val="7"/>
        </w:numPr>
        <w:contextualSpacing/>
        <w:jc w:val="both"/>
        <w:rPr>
          <w:rFonts w:ascii="Arial" w:hAnsi="Arial" w:cs="Arial"/>
          <w:b/>
          <w:color w:val="auto"/>
        </w:rPr>
      </w:pPr>
      <w:bookmarkStart w:id="18" w:name="_Toc23252976"/>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147</w:t>
      </w:r>
      <w:bookmarkEnd w:id="18"/>
      <w:r w:rsidRPr="00B92499">
        <w:rPr>
          <w:rFonts w:ascii="Arial" w:hAnsi="Arial" w:cs="Arial"/>
          <w:b/>
          <w:color w:val="auto"/>
        </w:rPr>
        <w:t xml:space="preserve"> </w:t>
      </w:r>
    </w:p>
    <w:p w14:paraId="5460749A" w14:textId="0C8C1E09" w:rsidR="00AF69FA" w:rsidRPr="00B92499" w:rsidRDefault="00940CBA" w:rsidP="004B6BFD">
      <w:pPr>
        <w:spacing w:before="100" w:beforeAutospacing="1" w:after="100" w:afterAutospacing="1" w:line="360" w:lineRule="auto"/>
        <w:contextualSpacing/>
        <w:jc w:val="both"/>
        <w:rPr>
          <w:rFonts w:ascii="Arial" w:hAnsi="Arial" w:cs="Arial"/>
        </w:rPr>
      </w:pPr>
      <w:r w:rsidRPr="00B92499">
        <w:rPr>
          <w:rFonts w:ascii="Arial" w:hAnsi="Arial" w:cs="Arial"/>
        </w:rPr>
        <w:t xml:space="preserve">Por último, la Administración Central obtuvo un ICP de </w:t>
      </w:r>
      <w:r w:rsidR="00995E8A" w:rsidRPr="00B92499">
        <w:rPr>
          <w:rFonts w:ascii="Arial" w:hAnsi="Arial" w:cs="Arial"/>
        </w:rPr>
        <w:t>92.78</w:t>
      </w:r>
      <w:r w:rsidRPr="00B92499">
        <w:rPr>
          <w:rFonts w:ascii="Arial" w:hAnsi="Arial" w:cs="Arial"/>
        </w:rPr>
        <w:t xml:space="preserve">%; debido a que </w:t>
      </w:r>
      <w:r w:rsidR="000D67A7" w:rsidRPr="00B92499">
        <w:rPr>
          <w:rFonts w:ascii="Arial" w:hAnsi="Arial" w:cs="Arial"/>
        </w:rPr>
        <w:t xml:space="preserve">5 </w:t>
      </w:r>
      <w:r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tuvieron un cumplimiento total, </w:t>
      </w:r>
      <w:r w:rsidR="000D67A7" w:rsidRPr="00B92499">
        <w:rPr>
          <w:rFonts w:ascii="Arial" w:hAnsi="Arial" w:cs="Arial"/>
        </w:rPr>
        <w:t>2</w:t>
      </w:r>
      <w:r w:rsidRPr="00B92499">
        <w:rPr>
          <w:rFonts w:ascii="Arial" w:hAnsi="Arial" w:cs="Arial"/>
        </w:rPr>
        <w:t xml:space="preserve"> un cumplimiento parcial</w:t>
      </w:r>
      <w:r w:rsidR="00995E8A" w:rsidRPr="00B92499">
        <w:rPr>
          <w:rFonts w:ascii="Arial" w:hAnsi="Arial" w:cs="Arial"/>
        </w:rPr>
        <w:t xml:space="preserve"> entre 93.04% y 99.17% y uno un incumplimiento parcial de 50%. </w:t>
      </w:r>
      <w:r w:rsidRPr="00B92499">
        <w:rPr>
          <w:rFonts w:ascii="Arial" w:hAnsi="Arial" w:cs="Arial"/>
        </w:rPr>
        <w:t xml:space="preserve">Los errores que cometieron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con mayor frecuencia </w:t>
      </w:r>
      <w:r w:rsidR="00995E8A" w:rsidRPr="00B92499">
        <w:rPr>
          <w:rFonts w:ascii="Arial" w:hAnsi="Arial" w:cs="Arial"/>
        </w:rPr>
        <w:t xml:space="preserve">consistieron en que </w:t>
      </w:r>
      <w:r w:rsidRPr="00B92499">
        <w:rPr>
          <w:rFonts w:ascii="Arial" w:hAnsi="Arial" w:cs="Arial"/>
        </w:rPr>
        <w:t xml:space="preserve">no actualizaron la información conforme lo indica la normatividad correspondiente y en algunos casos no publicaron la información establecida en el </w:t>
      </w:r>
      <w:r w:rsidR="00995E8A" w:rsidRPr="00B92499">
        <w:rPr>
          <w:rFonts w:ascii="Arial" w:hAnsi="Arial" w:cs="Arial"/>
        </w:rPr>
        <w:t>a</w:t>
      </w:r>
      <w:r w:rsidR="009D7771" w:rsidRPr="00B92499">
        <w:rPr>
          <w:rFonts w:ascii="Arial" w:hAnsi="Arial" w:cs="Arial"/>
        </w:rPr>
        <w:t>rtículo</w:t>
      </w:r>
      <w:r w:rsidRPr="00B92499">
        <w:rPr>
          <w:rFonts w:ascii="Arial" w:hAnsi="Arial" w:cs="Arial"/>
        </w:rPr>
        <w:t>, por lo que deberán mantenerla vige</w:t>
      </w:r>
      <w:r w:rsidR="00EE5F08" w:rsidRPr="00B92499">
        <w:rPr>
          <w:rFonts w:ascii="Arial" w:hAnsi="Arial" w:cs="Arial"/>
        </w:rPr>
        <w:t>nte para la consulta ciudadana.</w:t>
      </w:r>
      <w:r w:rsidR="00AF69FA" w:rsidRPr="00B92499">
        <w:rPr>
          <w:rFonts w:ascii="Arial" w:hAnsi="Arial" w:cs="Arial"/>
        </w:rPr>
        <w:br w:type="page"/>
      </w:r>
    </w:p>
    <w:p w14:paraId="13660DBE" w14:textId="28F51650" w:rsidR="00AF69FA" w:rsidRPr="00B92499" w:rsidRDefault="00674513" w:rsidP="009F64B5">
      <w:pPr>
        <w:pStyle w:val="Ttulo2"/>
        <w:numPr>
          <w:ilvl w:val="1"/>
          <w:numId w:val="7"/>
        </w:numPr>
        <w:contextualSpacing/>
        <w:jc w:val="both"/>
        <w:rPr>
          <w:rFonts w:ascii="Arial" w:hAnsi="Arial" w:cs="Arial"/>
          <w:b/>
          <w:color w:val="auto"/>
          <w:sz w:val="24"/>
          <w:szCs w:val="24"/>
        </w:rPr>
      </w:pPr>
      <w:bookmarkStart w:id="19" w:name="_Toc23252977"/>
      <w:bookmarkStart w:id="20" w:name="OLE_LINK1"/>
      <w:bookmarkStart w:id="21" w:name="OLE_LINK2"/>
      <w:r w:rsidRPr="00B92499">
        <w:rPr>
          <w:rFonts w:ascii="Arial" w:hAnsi="Arial" w:cs="Arial"/>
          <w:b/>
          <w:color w:val="auto"/>
          <w:sz w:val="24"/>
          <w:szCs w:val="24"/>
        </w:rPr>
        <w:lastRenderedPageBreak/>
        <w:t>ÓRGANOS DESCONCENTRADOS</w:t>
      </w:r>
      <w:r w:rsidR="00C576D2" w:rsidRPr="00B92499">
        <w:rPr>
          <w:rFonts w:ascii="Arial" w:hAnsi="Arial" w:cs="Arial"/>
          <w:b/>
          <w:color w:val="auto"/>
          <w:sz w:val="24"/>
          <w:szCs w:val="24"/>
        </w:rPr>
        <w:t>, FIDEICOMISOS Y FONDOS PÚBLICOS</w:t>
      </w:r>
      <w:bookmarkEnd w:id="19"/>
    </w:p>
    <w:p w14:paraId="557E5D5C" w14:textId="15AA33C2"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El ámbito del Poder Ejecutivo, por lo que corresponde a los Órganos Desconcentrados, Fideicomisos y Fondos Públicos (Órganos Desconcentrados), está conformado por 63 </w:t>
      </w:r>
      <w:r w:rsidR="008710F6" w:rsidRPr="00B92499">
        <w:rPr>
          <w:rFonts w:ascii="Arial" w:hAnsi="Arial" w:cs="Arial"/>
        </w:rPr>
        <w:t>sujeto</w:t>
      </w:r>
      <w:r w:rsidRPr="00B92499">
        <w:rPr>
          <w:rFonts w:ascii="Arial" w:hAnsi="Arial" w:cs="Arial"/>
        </w:rPr>
        <w:t xml:space="preserve">s obligados de conformidad con el Padrón de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supeditados al cumplimiento de la Ley de Transparencia, Acceso a la Información Pública y Rendición de Cuentas de la Ciudad de México</w:t>
      </w:r>
      <w:r w:rsidRPr="00B92499" w:rsidDel="005B5D1B">
        <w:rPr>
          <w:rFonts w:ascii="Arial" w:hAnsi="Arial" w:cs="Arial"/>
        </w:rPr>
        <w:t xml:space="preserve"> </w:t>
      </w:r>
      <w:r w:rsidRPr="00B92499">
        <w:rPr>
          <w:rFonts w:ascii="Arial" w:hAnsi="Arial" w:cs="Arial"/>
        </w:rPr>
        <w:t xml:space="preserve">y de la Ley de Protección de Datos Personales en Posesión de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la Ciudad de México (Padrón); de los cuales serán examinados únicamente los </w:t>
      </w:r>
      <w:r w:rsidR="000D67A7" w:rsidRPr="00B92499">
        <w:rPr>
          <w:rFonts w:ascii="Arial" w:hAnsi="Arial" w:cs="Arial"/>
        </w:rPr>
        <w:t xml:space="preserve"> 8 </w:t>
      </w:r>
      <w:r w:rsidRPr="00B92499">
        <w:rPr>
          <w:rFonts w:ascii="Arial" w:hAnsi="Arial" w:cs="Arial"/>
        </w:rPr>
        <w:t xml:space="preserve"> </w:t>
      </w:r>
      <w:r w:rsidR="008710F6" w:rsidRPr="00B92499">
        <w:rPr>
          <w:rFonts w:ascii="Arial" w:hAnsi="Arial" w:cs="Arial"/>
        </w:rPr>
        <w:t>sujeto</w:t>
      </w:r>
      <w:r w:rsidRPr="00B92499">
        <w:rPr>
          <w:rFonts w:ascii="Arial" w:hAnsi="Arial" w:cs="Arial"/>
        </w:rPr>
        <w:t xml:space="preserve">s de nueva incorporación al Padrón.  </w:t>
      </w:r>
    </w:p>
    <w:p w14:paraId="6BD06584"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34D363A7" w14:textId="38425564"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(ICOT-PT),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2CA2CA52" w14:textId="77777777" w:rsidR="002B18F9" w:rsidRPr="00B92499" w:rsidRDefault="002B18F9" w:rsidP="002B18F9">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2B18F9" w:rsidRPr="00B92499" w14:paraId="1E5FEF31" w14:textId="77777777" w:rsidTr="002B18F9">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7C387EA8"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2B18F9" w:rsidRPr="00B92499" w14:paraId="70158554" w14:textId="77777777" w:rsidTr="002B18F9">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167DD87"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68AA5CC2" w14:textId="3B6ADFBF"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AB55AB6"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%Inf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A65E8F5"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 Nota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2A6EDF9"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90443AC"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3A4EBA2"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78F090FF"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FF77D19"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48708AB"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B6440C5" w14:textId="77777777" w:rsidR="002B18F9" w:rsidRPr="00B92499" w:rsidRDefault="002B18F9" w:rsidP="002B18F9">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2B18F9" w:rsidRPr="00B92499" w14:paraId="2B21FD1C"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4A8D776"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5C5E8BBA"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Agencia Digital de Innovación Pública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322351D0"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99.85</w:t>
            </w:r>
          </w:p>
        </w:tc>
        <w:tc>
          <w:tcPr>
            <w:tcW w:w="850" w:type="dxa"/>
            <w:tcBorders>
              <w:top w:val="nil"/>
              <w:left w:val="nil"/>
              <w:bottom w:val="single" w:sz="4" w:space="0" w:color="auto"/>
              <w:right w:val="single" w:sz="4" w:space="0" w:color="auto"/>
            </w:tcBorders>
            <w:shd w:val="clear" w:color="000000" w:fill="D9D9D9"/>
            <w:noWrap/>
            <w:vAlign w:val="center"/>
            <w:hideMark/>
          </w:tcPr>
          <w:p w14:paraId="100659FA"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0.15</w:t>
            </w:r>
          </w:p>
        </w:tc>
        <w:tc>
          <w:tcPr>
            <w:tcW w:w="850" w:type="dxa"/>
            <w:tcBorders>
              <w:top w:val="nil"/>
              <w:left w:val="nil"/>
              <w:bottom w:val="single" w:sz="4" w:space="0" w:color="auto"/>
              <w:right w:val="single" w:sz="4" w:space="0" w:color="auto"/>
            </w:tcBorders>
            <w:shd w:val="clear" w:color="auto" w:fill="auto"/>
            <w:noWrap/>
            <w:vAlign w:val="center"/>
            <w:hideMark/>
          </w:tcPr>
          <w:p w14:paraId="5EB69540" w14:textId="3D70A306" w:rsidR="002B18F9" w:rsidRPr="00B92499" w:rsidRDefault="002B18F9" w:rsidP="00516AA8">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1D889264"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99.85</w:t>
            </w:r>
          </w:p>
        </w:tc>
        <w:tc>
          <w:tcPr>
            <w:tcW w:w="850" w:type="dxa"/>
            <w:tcBorders>
              <w:top w:val="nil"/>
              <w:left w:val="nil"/>
              <w:bottom w:val="single" w:sz="4" w:space="0" w:color="auto"/>
              <w:right w:val="single" w:sz="4" w:space="0" w:color="auto"/>
            </w:tcBorders>
            <w:shd w:val="clear" w:color="000000" w:fill="D9D9D9"/>
            <w:noWrap/>
            <w:vAlign w:val="center"/>
            <w:hideMark/>
          </w:tcPr>
          <w:p w14:paraId="1B64CD8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0.15</w:t>
            </w:r>
          </w:p>
        </w:tc>
        <w:tc>
          <w:tcPr>
            <w:tcW w:w="850" w:type="dxa"/>
            <w:tcBorders>
              <w:top w:val="nil"/>
              <w:left w:val="nil"/>
              <w:bottom w:val="single" w:sz="4" w:space="0" w:color="auto"/>
              <w:right w:val="single" w:sz="4" w:space="0" w:color="auto"/>
            </w:tcBorders>
            <w:shd w:val="clear" w:color="auto" w:fill="auto"/>
            <w:noWrap/>
            <w:vAlign w:val="center"/>
            <w:hideMark/>
          </w:tcPr>
          <w:p w14:paraId="052CE380" w14:textId="0C94A452" w:rsidR="002B18F9" w:rsidRPr="00B92499" w:rsidRDefault="002B18F9" w:rsidP="00516AA8">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26204EDD"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99.85</w:t>
            </w:r>
          </w:p>
        </w:tc>
        <w:tc>
          <w:tcPr>
            <w:tcW w:w="850" w:type="dxa"/>
            <w:tcBorders>
              <w:top w:val="nil"/>
              <w:left w:val="nil"/>
              <w:bottom w:val="single" w:sz="4" w:space="0" w:color="auto"/>
              <w:right w:val="single" w:sz="4" w:space="0" w:color="auto"/>
            </w:tcBorders>
            <w:shd w:val="clear" w:color="000000" w:fill="D9D9D9"/>
            <w:noWrap/>
            <w:vAlign w:val="center"/>
            <w:hideMark/>
          </w:tcPr>
          <w:p w14:paraId="407E31F4"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0.15</w:t>
            </w:r>
          </w:p>
        </w:tc>
        <w:tc>
          <w:tcPr>
            <w:tcW w:w="850" w:type="dxa"/>
            <w:tcBorders>
              <w:top w:val="nil"/>
              <w:left w:val="nil"/>
              <w:bottom w:val="single" w:sz="4" w:space="0" w:color="auto"/>
              <w:right w:val="single" w:sz="4" w:space="0" w:color="auto"/>
            </w:tcBorders>
            <w:shd w:val="clear" w:color="auto" w:fill="auto"/>
            <w:noWrap/>
            <w:vAlign w:val="center"/>
            <w:hideMark/>
          </w:tcPr>
          <w:p w14:paraId="444F23EC" w14:textId="252AF0BA" w:rsidR="002B18F9" w:rsidRPr="00B92499" w:rsidRDefault="002B18F9" w:rsidP="00516AA8">
            <w:pPr>
              <w:jc w:val="center"/>
              <w:rPr>
                <w:rFonts w:ascii="Arial" w:hAnsi="Arial" w:cs="Arial"/>
                <w:color w:val="000000"/>
                <w:sz w:val="16"/>
                <w:szCs w:val="16"/>
              </w:rPr>
            </w:pPr>
            <w:r w:rsidRPr="00B92499">
              <w:rPr>
                <w:rFonts w:ascii="Arial" w:hAnsi="Arial" w:cs="Arial"/>
                <w:color w:val="000000"/>
                <w:sz w:val="16"/>
                <w:szCs w:val="16"/>
              </w:rPr>
              <w:t>100</w:t>
            </w:r>
          </w:p>
        </w:tc>
      </w:tr>
      <w:tr w:rsidR="002B18F9" w:rsidRPr="00B92499" w14:paraId="058986C9"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1F7F5FC"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2</w:t>
            </w:r>
          </w:p>
        </w:tc>
        <w:tc>
          <w:tcPr>
            <w:tcW w:w="1304" w:type="dxa"/>
            <w:tcBorders>
              <w:top w:val="nil"/>
              <w:left w:val="nil"/>
              <w:bottom w:val="single" w:sz="4" w:space="0" w:color="auto"/>
              <w:right w:val="single" w:sz="4" w:space="0" w:color="auto"/>
            </w:tcBorders>
            <w:shd w:val="clear" w:color="000000" w:fill="FFFFFF"/>
            <w:vAlign w:val="center"/>
            <w:hideMark/>
          </w:tcPr>
          <w:p w14:paraId="30A4A415"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Agencia de Atención Animal</w:t>
            </w:r>
          </w:p>
        </w:tc>
        <w:tc>
          <w:tcPr>
            <w:tcW w:w="850" w:type="dxa"/>
            <w:tcBorders>
              <w:top w:val="nil"/>
              <w:left w:val="nil"/>
              <w:bottom w:val="single" w:sz="4" w:space="0" w:color="auto"/>
              <w:right w:val="single" w:sz="4" w:space="0" w:color="auto"/>
            </w:tcBorders>
            <w:shd w:val="clear" w:color="000000" w:fill="BDD7EE"/>
            <w:noWrap/>
            <w:vAlign w:val="center"/>
            <w:hideMark/>
          </w:tcPr>
          <w:p w14:paraId="373783CF"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84.01</w:t>
            </w:r>
          </w:p>
        </w:tc>
        <w:tc>
          <w:tcPr>
            <w:tcW w:w="850" w:type="dxa"/>
            <w:tcBorders>
              <w:top w:val="nil"/>
              <w:left w:val="nil"/>
              <w:bottom w:val="single" w:sz="4" w:space="0" w:color="auto"/>
              <w:right w:val="single" w:sz="4" w:space="0" w:color="auto"/>
            </w:tcBorders>
            <w:shd w:val="clear" w:color="000000" w:fill="D9D9D9"/>
            <w:noWrap/>
            <w:vAlign w:val="center"/>
            <w:hideMark/>
          </w:tcPr>
          <w:p w14:paraId="67C86F4B"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0F627AF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85.06</w:t>
            </w:r>
          </w:p>
        </w:tc>
        <w:tc>
          <w:tcPr>
            <w:tcW w:w="850" w:type="dxa"/>
            <w:tcBorders>
              <w:top w:val="nil"/>
              <w:left w:val="nil"/>
              <w:bottom w:val="single" w:sz="4" w:space="0" w:color="auto"/>
              <w:right w:val="single" w:sz="4" w:space="0" w:color="auto"/>
            </w:tcBorders>
            <w:shd w:val="clear" w:color="000000" w:fill="BDD7EE"/>
            <w:noWrap/>
            <w:vAlign w:val="center"/>
            <w:hideMark/>
          </w:tcPr>
          <w:p w14:paraId="5013629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93.03</w:t>
            </w:r>
          </w:p>
        </w:tc>
        <w:tc>
          <w:tcPr>
            <w:tcW w:w="850" w:type="dxa"/>
            <w:tcBorders>
              <w:top w:val="nil"/>
              <w:left w:val="nil"/>
              <w:bottom w:val="single" w:sz="4" w:space="0" w:color="auto"/>
              <w:right w:val="single" w:sz="4" w:space="0" w:color="auto"/>
            </w:tcBorders>
            <w:shd w:val="clear" w:color="000000" w:fill="D9D9D9"/>
            <w:noWrap/>
            <w:vAlign w:val="center"/>
            <w:hideMark/>
          </w:tcPr>
          <w:p w14:paraId="12B9278D"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642EFBA6"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94.08</w:t>
            </w:r>
          </w:p>
        </w:tc>
        <w:tc>
          <w:tcPr>
            <w:tcW w:w="850" w:type="dxa"/>
            <w:tcBorders>
              <w:top w:val="nil"/>
              <w:left w:val="nil"/>
              <w:bottom w:val="single" w:sz="4" w:space="0" w:color="auto"/>
              <w:right w:val="single" w:sz="4" w:space="0" w:color="auto"/>
            </w:tcBorders>
            <w:shd w:val="clear" w:color="000000" w:fill="BDD7EE"/>
            <w:noWrap/>
            <w:vAlign w:val="center"/>
            <w:hideMark/>
          </w:tcPr>
          <w:p w14:paraId="79790EAE"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88.52</w:t>
            </w:r>
          </w:p>
        </w:tc>
        <w:tc>
          <w:tcPr>
            <w:tcW w:w="850" w:type="dxa"/>
            <w:tcBorders>
              <w:top w:val="nil"/>
              <w:left w:val="nil"/>
              <w:bottom w:val="single" w:sz="4" w:space="0" w:color="auto"/>
              <w:right w:val="single" w:sz="4" w:space="0" w:color="auto"/>
            </w:tcBorders>
            <w:shd w:val="clear" w:color="000000" w:fill="D9D9D9"/>
            <w:noWrap/>
            <w:vAlign w:val="center"/>
            <w:hideMark/>
          </w:tcPr>
          <w:p w14:paraId="3435215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754C2738"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89.57</w:t>
            </w:r>
          </w:p>
        </w:tc>
      </w:tr>
      <w:tr w:rsidR="002B18F9" w:rsidRPr="00B92499" w14:paraId="124FC334"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8046ED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w:t>
            </w:r>
          </w:p>
        </w:tc>
        <w:tc>
          <w:tcPr>
            <w:tcW w:w="1304" w:type="dxa"/>
            <w:tcBorders>
              <w:top w:val="nil"/>
              <w:left w:val="nil"/>
              <w:bottom w:val="single" w:sz="4" w:space="0" w:color="auto"/>
              <w:right w:val="single" w:sz="4" w:space="0" w:color="auto"/>
            </w:tcBorders>
            <w:shd w:val="clear" w:color="000000" w:fill="FFFFFF"/>
            <w:vAlign w:val="center"/>
            <w:hideMark/>
          </w:tcPr>
          <w:p w14:paraId="2D1BF855"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Órgano Regulador de Transporte</w:t>
            </w:r>
          </w:p>
        </w:tc>
        <w:tc>
          <w:tcPr>
            <w:tcW w:w="850" w:type="dxa"/>
            <w:tcBorders>
              <w:top w:val="nil"/>
              <w:left w:val="nil"/>
              <w:bottom w:val="single" w:sz="4" w:space="0" w:color="auto"/>
              <w:right w:val="single" w:sz="4" w:space="0" w:color="auto"/>
            </w:tcBorders>
            <w:shd w:val="clear" w:color="000000" w:fill="BDD7EE"/>
            <w:noWrap/>
            <w:vAlign w:val="center"/>
            <w:hideMark/>
          </w:tcPr>
          <w:p w14:paraId="25129565"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87.43</w:t>
            </w:r>
          </w:p>
        </w:tc>
        <w:tc>
          <w:tcPr>
            <w:tcW w:w="850" w:type="dxa"/>
            <w:tcBorders>
              <w:top w:val="nil"/>
              <w:left w:val="nil"/>
              <w:bottom w:val="single" w:sz="4" w:space="0" w:color="auto"/>
              <w:right w:val="single" w:sz="4" w:space="0" w:color="auto"/>
            </w:tcBorders>
            <w:shd w:val="clear" w:color="000000" w:fill="D9D9D9"/>
            <w:noWrap/>
            <w:vAlign w:val="center"/>
            <w:hideMark/>
          </w:tcPr>
          <w:p w14:paraId="54FA063A"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1.40</w:t>
            </w:r>
          </w:p>
        </w:tc>
        <w:tc>
          <w:tcPr>
            <w:tcW w:w="850" w:type="dxa"/>
            <w:tcBorders>
              <w:top w:val="nil"/>
              <w:left w:val="nil"/>
              <w:bottom w:val="single" w:sz="4" w:space="0" w:color="auto"/>
              <w:right w:val="single" w:sz="4" w:space="0" w:color="auto"/>
            </w:tcBorders>
            <w:shd w:val="clear" w:color="auto" w:fill="auto"/>
            <w:noWrap/>
            <w:vAlign w:val="center"/>
            <w:hideMark/>
          </w:tcPr>
          <w:p w14:paraId="16CDC44D"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88.83</w:t>
            </w:r>
          </w:p>
        </w:tc>
        <w:tc>
          <w:tcPr>
            <w:tcW w:w="850" w:type="dxa"/>
            <w:tcBorders>
              <w:top w:val="nil"/>
              <w:left w:val="nil"/>
              <w:bottom w:val="single" w:sz="4" w:space="0" w:color="auto"/>
              <w:right w:val="single" w:sz="4" w:space="0" w:color="auto"/>
            </w:tcBorders>
            <w:shd w:val="clear" w:color="000000" w:fill="BDD7EE"/>
            <w:noWrap/>
            <w:vAlign w:val="center"/>
            <w:hideMark/>
          </w:tcPr>
          <w:p w14:paraId="6EF080A8"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85.35</w:t>
            </w:r>
          </w:p>
        </w:tc>
        <w:tc>
          <w:tcPr>
            <w:tcW w:w="850" w:type="dxa"/>
            <w:tcBorders>
              <w:top w:val="nil"/>
              <w:left w:val="nil"/>
              <w:bottom w:val="single" w:sz="4" w:space="0" w:color="auto"/>
              <w:right w:val="single" w:sz="4" w:space="0" w:color="auto"/>
            </w:tcBorders>
            <w:shd w:val="clear" w:color="000000" w:fill="D9D9D9"/>
            <w:noWrap/>
            <w:vAlign w:val="center"/>
            <w:hideMark/>
          </w:tcPr>
          <w:p w14:paraId="1B84A03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1.31</w:t>
            </w:r>
          </w:p>
        </w:tc>
        <w:tc>
          <w:tcPr>
            <w:tcW w:w="850" w:type="dxa"/>
            <w:tcBorders>
              <w:top w:val="nil"/>
              <w:left w:val="nil"/>
              <w:bottom w:val="single" w:sz="4" w:space="0" w:color="auto"/>
              <w:right w:val="single" w:sz="4" w:space="0" w:color="auto"/>
            </w:tcBorders>
            <w:shd w:val="clear" w:color="auto" w:fill="auto"/>
            <w:noWrap/>
            <w:vAlign w:val="center"/>
            <w:hideMark/>
          </w:tcPr>
          <w:p w14:paraId="4A027F0C"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86.66</w:t>
            </w:r>
          </w:p>
        </w:tc>
        <w:tc>
          <w:tcPr>
            <w:tcW w:w="850" w:type="dxa"/>
            <w:tcBorders>
              <w:top w:val="nil"/>
              <w:left w:val="nil"/>
              <w:bottom w:val="single" w:sz="4" w:space="0" w:color="auto"/>
              <w:right w:val="single" w:sz="4" w:space="0" w:color="auto"/>
            </w:tcBorders>
            <w:shd w:val="clear" w:color="000000" w:fill="BDD7EE"/>
            <w:noWrap/>
            <w:vAlign w:val="center"/>
            <w:hideMark/>
          </w:tcPr>
          <w:p w14:paraId="5CD0C3E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86.39</w:t>
            </w:r>
          </w:p>
        </w:tc>
        <w:tc>
          <w:tcPr>
            <w:tcW w:w="850" w:type="dxa"/>
            <w:tcBorders>
              <w:top w:val="nil"/>
              <w:left w:val="nil"/>
              <w:bottom w:val="single" w:sz="4" w:space="0" w:color="auto"/>
              <w:right w:val="single" w:sz="4" w:space="0" w:color="auto"/>
            </w:tcBorders>
            <w:shd w:val="clear" w:color="000000" w:fill="D9D9D9"/>
            <w:noWrap/>
            <w:vAlign w:val="center"/>
            <w:hideMark/>
          </w:tcPr>
          <w:p w14:paraId="4FF7646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1.36</w:t>
            </w:r>
          </w:p>
        </w:tc>
        <w:tc>
          <w:tcPr>
            <w:tcW w:w="850" w:type="dxa"/>
            <w:tcBorders>
              <w:top w:val="nil"/>
              <w:left w:val="nil"/>
              <w:bottom w:val="single" w:sz="4" w:space="0" w:color="auto"/>
              <w:right w:val="single" w:sz="4" w:space="0" w:color="auto"/>
            </w:tcBorders>
            <w:shd w:val="clear" w:color="auto" w:fill="auto"/>
            <w:noWrap/>
            <w:vAlign w:val="center"/>
            <w:hideMark/>
          </w:tcPr>
          <w:p w14:paraId="60D2CEAE"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87.74</w:t>
            </w:r>
          </w:p>
        </w:tc>
      </w:tr>
      <w:tr w:rsidR="002B18F9" w:rsidRPr="00B92499" w14:paraId="68C9A81A"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19005B2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4</w:t>
            </w:r>
          </w:p>
        </w:tc>
        <w:tc>
          <w:tcPr>
            <w:tcW w:w="1304" w:type="dxa"/>
            <w:tcBorders>
              <w:top w:val="nil"/>
              <w:left w:val="nil"/>
              <w:bottom w:val="single" w:sz="4" w:space="0" w:color="auto"/>
              <w:right w:val="single" w:sz="4" w:space="0" w:color="auto"/>
            </w:tcBorders>
            <w:shd w:val="clear" w:color="000000" w:fill="FFFFFF"/>
            <w:vAlign w:val="center"/>
            <w:hideMark/>
          </w:tcPr>
          <w:p w14:paraId="3DB51EDD"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Sistema Público de Radiodifusión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686DD34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85.69</w:t>
            </w:r>
          </w:p>
        </w:tc>
        <w:tc>
          <w:tcPr>
            <w:tcW w:w="850" w:type="dxa"/>
            <w:tcBorders>
              <w:top w:val="nil"/>
              <w:left w:val="nil"/>
              <w:bottom w:val="single" w:sz="4" w:space="0" w:color="auto"/>
              <w:right w:val="single" w:sz="4" w:space="0" w:color="auto"/>
            </w:tcBorders>
            <w:shd w:val="clear" w:color="000000" w:fill="D9D9D9"/>
            <w:noWrap/>
            <w:vAlign w:val="center"/>
            <w:hideMark/>
          </w:tcPr>
          <w:p w14:paraId="584E760C"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4.66</w:t>
            </w:r>
          </w:p>
        </w:tc>
        <w:tc>
          <w:tcPr>
            <w:tcW w:w="850" w:type="dxa"/>
            <w:tcBorders>
              <w:top w:val="nil"/>
              <w:left w:val="nil"/>
              <w:bottom w:val="single" w:sz="4" w:space="0" w:color="auto"/>
              <w:right w:val="single" w:sz="4" w:space="0" w:color="auto"/>
            </w:tcBorders>
            <w:shd w:val="clear" w:color="auto" w:fill="auto"/>
            <w:noWrap/>
            <w:vAlign w:val="center"/>
            <w:hideMark/>
          </w:tcPr>
          <w:p w14:paraId="551399DA"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90.34</w:t>
            </w:r>
          </w:p>
        </w:tc>
        <w:tc>
          <w:tcPr>
            <w:tcW w:w="850" w:type="dxa"/>
            <w:tcBorders>
              <w:top w:val="nil"/>
              <w:left w:val="nil"/>
              <w:bottom w:val="single" w:sz="4" w:space="0" w:color="auto"/>
              <w:right w:val="single" w:sz="4" w:space="0" w:color="auto"/>
            </w:tcBorders>
            <w:shd w:val="clear" w:color="000000" w:fill="BDD7EE"/>
            <w:noWrap/>
            <w:vAlign w:val="center"/>
            <w:hideMark/>
          </w:tcPr>
          <w:p w14:paraId="6C0224D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81.52</w:t>
            </w:r>
          </w:p>
        </w:tc>
        <w:tc>
          <w:tcPr>
            <w:tcW w:w="850" w:type="dxa"/>
            <w:tcBorders>
              <w:top w:val="nil"/>
              <w:left w:val="nil"/>
              <w:bottom w:val="single" w:sz="4" w:space="0" w:color="auto"/>
              <w:right w:val="single" w:sz="4" w:space="0" w:color="auto"/>
            </w:tcBorders>
            <w:shd w:val="clear" w:color="000000" w:fill="D9D9D9"/>
            <w:noWrap/>
            <w:vAlign w:val="center"/>
            <w:hideMark/>
          </w:tcPr>
          <w:p w14:paraId="294B8A5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3.53</w:t>
            </w:r>
          </w:p>
        </w:tc>
        <w:tc>
          <w:tcPr>
            <w:tcW w:w="850" w:type="dxa"/>
            <w:tcBorders>
              <w:top w:val="nil"/>
              <w:left w:val="nil"/>
              <w:bottom w:val="single" w:sz="4" w:space="0" w:color="auto"/>
              <w:right w:val="single" w:sz="4" w:space="0" w:color="auto"/>
            </w:tcBorders>
            <w:shd w:val="clear" w:color="auto" w:fill="auto"/>
            <w:noWrap/>
            <w:vAlign w:val="center"/>
            <w:hideMark/>
          </w:tcPr>
          <w:p w14:paraId="52063358"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85.05</w:t>
            </w:r>
          </w:p>
        </w:tc>
        <w:tc>
          <w:tcPr>
            <w:tcW w:w="850" w:type="dxa"/>
            <w:tcBorders>
              <w:top w:val="nil"/>
              <w:left w:val="nil"/>
              <w:bottom w:val="single" w:sz="4" w:space="0" w:color="auto"/>
              <w:right w:val="single" w:sz="4" w:space="0" w:color="auto"/>
            </w:tcBorders>
            <w:shd w:val="clear" w:color="000000" w:fill="BDD7EE"/>
            <w:noWrap/>
            <w:vAlign w:val="center"/>
            <w:hideMark/>
          </w:tcPr>
          <w:p w14:paraId="52ECA2B7"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83.60</w:t>
            </w:r>
          </w:p>
        </w:tc>
        <w:tc>
          <w:tcPr>
            <w:tcW w:w="850" w:type="dxa"/>
            <w:tcBorders>
              <w:top w:val="nil"/>
              <w:left w:val="nil"/>
              <w:bottom w:val="single" w:sz="4" w:space="0" w:color="auto"/>
              <w:right w:val="single" w:sz="4" w:space="0" w:color="auto"/>
            </w:tcBorders>
            <w:shd w:val="clear" w:color="000000" w:fill="D9D9D9"/>
            <w:noWrap/>
            <w:vAlign w:val="center"/>
            <w:hideMark/>
          </w:tcPr>
          <w:p w14:paraId="5B2B27F6"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4.09</w:t>
            </w:r>
          </w:p>
        </w:tc>
        <w:tc>
          <w:tcPr>
            <w:tcW w:w="850" w:type="dxa"/>
            <w:tcBorders>
              <w:top w:val="nil"/>
              <w:left w:val="nil"/>
              <w:bottom w:val="single" w:sz="4" w:space="0" w:color="auto"/>
              <w:right w:val="single" w:sz="4" w:space="0" w:color="auto"/>
            </w:tcBorders>
            <w:shd w:val="clear" w:color="auto" w:fill="auto"/>
            <w:noWrap/>
            <w:vAlign w:val="center"/>
            <w:hideMark/>
          </w:tcPr>
          <w:p w14:paraId="21A8EE46"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87.70</w:t>
            </w:r>
          </w:p>
        </w:tc>
      </w:tr>
      <w:tr w:rsidR="002B18F9" w:rsidRPr="00B92499" w14:paraId="29C64FBC"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1B42E1E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5</w:t>
            </w:r>
          </w:p>
        </w:tc>
        <w:tc>
          <w:tcPr>
            <w:tcW w:w="1304" w:type="dxa"/>
            <w:tcBorders>
              <w:top w:val="nil"/>
              <w:left w:val="nil"/>
              <w:bottom w:val="single" w:sz="4" w:space="0" w:color="auto"/>
              <w:right w:val="single" w:sz="4" w:space="0" w:color="auto"/>
            </w:tcBorders>
            <w:shd w:val="clear" w:color="000000" w:fill="FFFFFF"/>
            <w:vAlign w:val="center"/>
            <w:hideMark/>
          </w:tcPr>
          <w:p w14:paraId="6FE07F47"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Red de Transporte Público de Pasajeros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127FC16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71.75</w:t>
            </w:r>
          </w:p>
        </w:tc>
        <w:tc>
          <w:tcPr>
            <w:tcW w:w="850" w:type="dxa"/>
            <w:tcBorders>
              <w:top w:val="nil"/>
              <w:left w:val="nil"/>
              <w:bottom w:val="single" w:sz="4" w:space="0" w:color="auto"/>
              <w:right w:val="single" w:sz="4" w:space="0" w:color="auto"/>
            </w:tcBorders>
            <w:shd w:val="clear" w:color="000000" w:fill="D9D9D9"/>
            <w:noWrap/>
            <w:vAlign w:val="center"/>
            <w:hideMark/>
          </w:tcPr>
          <w:p w14:paraId="4A2A600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56B2084A"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71.75</w:t>
            </w:r>
          </w:p>
        </w:tc>
        <w:tc>
          <w:tcPr>
            <w:tcW w:w="850" w:type="dxa"/>
            <w:tcBorders>
              <w:top w:val="nil"/>
              <w:left w:val="nil"/>
              <w:bottom w:val="single" w:sz="4" w:space="0" w:color="auto"/>
              <w:right w:val="single" w:sz="4" w:space="0" w:color="auto"/>
            </w:tcBorders>
            <w:shd w:val="clear" w:color="000000" w:fill="BDD7EE"/>
            <w:noWrap/>
            <w:vAlign w:val="center"/>
            <w:hideMark/>
          </w:tcPr>
          <w:p w14:paraId="06F4D760"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96.84</w:t>
            </w:r>
          </w:p>
        </w:tc>
        <w:tc>
          <w:tcPr>
            <w:tcW w:w="850" w:type="dxa"/>
            <w:tcBorders>
              <w:top w:val="nil"/>
              <w:left w:val="nil"/>
              <w:bottom w:val="single" w:sz="4" w:space="0" w:color="auto"/>
              <w:right w:val="single" w:sz="4" w:space="0" w:color="auto"/>
            </w:tcBorders>
            <w:shd w:val="clear" w:color="000000" w:fill="D9D9D9"/>
            <w:noWrap/>
            <w:vAlign w:val="center"/>
            <w:hideMark/>
          </w:tcPr>
          <w:p w14:paraId="79F74534"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1E26D91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97.88</w:t>
            </w:r>
          </w:p>
        </w:tc>
        <w:tc>
          <w:tcPr>
            <w:tcW w:w="850" w:type="dxa"/>
            <w:tcBorders>
              <w:top w:val="nil"/>
              <w:left w:val="nil"/>
              <w:bottom w:val="single" w:sz="4" w:space="0" w:color="auto"/>
              <w:right w:val="single" w:sz="4" w:space="0" w:color="auto"/>
            </w:tcBorders>
            <w:shd w:val="clear" w:color="000000" w:fill="BDD7EE"/>
            <w:noWrap/>
            <w:vAlign w:val="center"/>
            <w:hideMark/>
          </w:tcPr>
          <w:p w14:paraId="53635BA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84.29</w:t>
            </w:r>
          </w:p>
        </w:tc>
        <w:tc>
          <w:tcPr>
            <w:tcW w:w="850" w:type="dxa"/>
            <w:tcBorders>
              <w:top w:val="nil"/>
              <w:left w:val="nil"/>
              <w:bottom w:val="single" w:sz="4" w:space="0" w:color="auto"/>
              <w:right w:val="single" w:sz="4" w:space="0" w:color="auto"/>
            </w:tcBorders>
            <w:shd w:val="clear" w:color="000000" w:fill="D9D9D9"/>
            <w:noWrap/>
            <w:vAlign w:val="center"/>
            <w:hideMark/>
          </w:tcPr>
          <w:p w14:paraId="25BF67F7"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0.52</w:t>
            </w:r>
          </w:p>
        </w:tc>
        <w:tc>
          <w:tcPr>
            <w:tcW w:w="850" w:type="dxa"/>
            <w:tcBorders>
              <w:top w:val="nil"/>
              <w:left w:val="nil"/>
              <w:bottom w:val="single" w:sz="4" w:space="0" w:color="auto"/>
              <w:right w:val="single" w:sz="4" w:space="0" w:color="auto"/>
            </w:tcBorders>
            <w:shd w:val="clear" w:color="auto" w:fill="auto"/>
            <w:noWrap/>
            <w:vAlign w:val="center"/>
            <w:hideMark/>
          </w:tcPr>
          <w:p w14:paraId="3B0429D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84.81</w:t>
            </w:r>
          </w:p>
        </w:tc>
      </w:tr>
      <w:tr w:rsidR="002B18F9" w:rsidRPr="00B92499" w14:paraId="5ED1EADA"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37EDBA56"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6</w:t>
            </w:r>
          </w:p>
        </w:tc>
        <w:tc>
          <w:tcPr>
            <w:tcW w:w="1304" w:type="dxa"/>
            <w:tcBorders>
              <w:top w:val="nil"/>
              <w:left w:val="nil"/>
              <w:bottom w:val="single" w:sz="4" w:space="0" w:color="auto"/>
              <w:right w:val="single" w:sz="4" w:space="0" w:color="auto"/>
            </w:tcBorders>
            <w:shd w:val="clear" w:color="000000" w:fill="FFFFFF"/>
            <w:vAlign w:val="center"/>
            <w:hideMark/>
          </w:tcPr>
          <w:p w14:paraId="36124352"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 xml:space="preserve">Régimen de Protección Social en Salud </w:t>
            </w:r>
            <w:r w:rsidRPr="00B92499">
              <w:rPr>
                <w:rFonts w:ascii="Arial" w:hAnsi="Arial" w:cs="Arial"/>
                <w:color w:val="000000"/>
                <w:sz w:val="16"/>
                <w:szCs w:val="16"/>
              </w:rPr>
              <w:lastRenderedPageBreak/>
              <w:t>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75AD5E9A"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lastRenderedPageBreak/>
              <w:t>16.26</w:t>
            </w:r>
          </w:p>
        </w:tc>
        <w:tc>
          <w:tcPr>
            <w:tcW w:w="850" w:type="dxa"/>
            <w:tcBorders>
              <w:top w:val="nil"/>
              <w:left w:val="nil"/>
              <w:bottom w:val="single" w:sz="4" w:space="0" w:color="auto"/>
              <w:right w:val="single" w:sz="4" w:space="0" w:color="auto"/>
            </w:tcBorders>
            <w:shd w:val="clear" w:color="000000" w:fill="D9D9D9"/>
            <w:noWrap/>
            <w:vAlign w:val="center"/>
            <w:hideMark/>
          </w:tcPr>
          <w:p w14:paraId="17133488"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2.00</w:t>
            </w:r>
          </w:p>
        </w:tc>
        <w:tc>
          <w:tcPr>
            <w:tcW w:w="850" w:type="dxa"/>
            <w:tcBorders>
              <w:top w:val="nil"/>
              <w:left w:val="nil"/>
              <w:bottom w:val="single" w:sz="4" w:space="0" w:color="auto"/>
              <w:right w:val="single" w:sz="4" w:space="0" w:color="auto"/>
            </w:tcBorders>
            <w:shd w:val="clear" w:color="auto" w:fill="auto"/>
            <w:noWrap/>
            <w:vAlign w:val="center"/>
            <w:hideMark/>
          </w:tcPr>
          <w:p w14:paraId="56D2FF2D"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18.26</w:t>
            </w:r>
          </w:p>
        </w:tc>
        <w:tc>
          <w:tcPr>
            <w:tcW w:w="850" w:type="dxa"/>
            <w:tcBorders>
              <w:top w:val="nil"/>
              <w:left w:val="nil"/>
              <w:bottom w:val="single" w:sz="4" w:space="0" w:color="auto"/>
              <w:right w:val="single" w:sz="4" w:space="0" w:color="auto"/>
            </w:tcBorders>
            <w:shd w:val="clear" w:color="000000" w:fill="BDD7EE"/>
            <w:noWrap/>
            <w:vAlign w:val="center"/>
            <w:hideMark/>
          </w:tcPr>
          <w:p w14:paraId="77943CE8"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65.00</w:t>
            </w:r>
          </w:p>
        </w:tc>
        <w:tc>
          <w:tcPr>
            <w:tcW w:w="850" w:type="dxa"/>
            <w:tcBorders>
              <w:top w:val="nil"/>
              <w:left w:val="nil"/>
              <w:bottom w:val="single" w:sz="4" w:space="0" w:color="auto"/>
              <w:right w:val="single" w:sz="4" w:space="0" w:color="auto"/>
            </w:tcBorders>
            <w:shd w:val="clear" w:color="000000" w:fill="D9D9D9"/>
            <w:noWrap/>
            <w:vAlign w:val="center"/>
            <w:hideMark/>
          </w:tcPr>
          <w:p w14:paraId="0CF18F2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1.28</w:t>
            </w:r>
          </w:p>
        </w:tc>
        <w:tc>
          <w:tcPr>
            <w:tcW w:w="850" w:type="dxa"/>
            <w:tcBorders>
              <w:top w:val="nil"/>
              <w:left w:val="nil"/>
              <w:bottom w:val="single" w:sz="4" w:space="0" w:color="auto"/>
              <w:right w:val="single" w:sz="4" w:space="0" w:color="auto"/>
            </w:tcBorders>
            <w:shd w:val="clear" w:color="auto" w:fill="auto"/>
            <w:noWrap/>
            <w:vAlign w:val="center"/>
            <w:hideMark/>
          </w:tcPr>
          <w:p w14:paraId="2A0CF920"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66.28</w:t>
            </w:r>
          </w:p>
        </w:tc>
        <w:tc>
          <w:tcPr>
            <w:tcW w:w="850" w:type="dxa"/>
            <w:tcBorders>
              <w:top w:val="nil"/>
              <w:left w:val="nil"/>
              <w:bottom w:val="single" w:sz="4" w:space="0" w:color="auto"/>
              <w:right w:val="single" w:sz="4" w:space="0" w:color="auto"/>
            </w:tcBorders>
            <w:shd w:val="clear" w:color="000000" w:fill="BDD7EE"/>
            <w:noWrap/>
            <w:vAlign w:val="center"/>
            <w:hideMark/>
          </w:tcPr>
          <w:p w14:paraId="4EBDF81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40.63</w:t>
            </w:r>
          </w:p>
        </w:tc>
        <w:tc>
          <w:tcPr>
            <w:tcW w:w="850" w:type="dxa"/>
            <w:tcBorders>
              <w:top w:val="nil"/>
              <w:left w:val="nil"/>
              <w:bottom w:val="single" w:sz="4" w:space="0" w:color="auto"/>
              <w:right w:val="single" w:sz="4" w:space="0" w:color="auto"/>
            </w:tcBorders>
            <w:shd w:val="clear" w:color="000000" w:fill="D9D9D9"/>
            <w:noWrap/>
            <w:vAlign w:val="center"/>
            <w:hideMark/>
          </w:tcPr>
          <w:p w14:paraId="68E2B44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1.64</w:t>
            </w:r>
          </w:p>
        </w:tc>
        <w:tc>
          <w:tcPr>
            <w:tcW w:w="850" w:type="dxa"/>
            <w:tcBorders>
              <w:top w:val="nil"/>
              <w:left w:val="nil"/>
              <w:bottom w:val="single" w:sz="4" w:space="0" w:color="auto"/>
              <w:right w:val="single" w:sz="4" w:space="0" w:color="auto"/>
            </w:tcBorders>
            <w:shd w:val="clear" w:color="auto" w:fill="auto"/>
            <w:noWrap/>
            <w:vAlign w:val="center"/>
            <w:hideMark/>
          </w:tcPr>
          <w:p w14:paraId="5C2A537E"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42.27</w:t>
            </w:r>
          </w:p>
        </w:tc>
      </w:tr>
      <w:tr w:rsidR="002B18F9" w:rsidRPr="00B92499" w14:paraId="60C08856"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362BA47B"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w:t>
            </w:r>
          </w:p>
        </w:tc>
        <w:tc>
          <w:tcPr>
            <w:tcW w:w="1304" w:type="dxa"/>
            <w:tcBorders>
              <w:top w:val="nil"/>
              <w:left w:val="nil"/>
              <w:bottom w:val="single" w:sz="4" w:space="0" w:color="auto"/>
              <w:right w:val="single" w:sz="4" w:space="0" w:color="auto"/>
            </w:tcBorders>
            <w:shd w:val="clear" w:color="000000" w:fill="FFFFFF"/>
            <w:vAlign w:val="center"/>
            <w:hideMark/>
          </w:tcPr>
          <w:p w14:paraId="4351E31E"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Planta Productora de Mezclas Asfálticas</w:t>
            </w:r>
          </w:p>
        </w:tc>
        <w:tc>
          <w:tcPr>
            <w:tcW w:w="850" w:type="dxa"/>
            <w:tcBorders>
              <w:top w:val="nil"/>
              <w:left w:val="nil"/>
              <w:bottom w:val="single" w:sz="4" w:space="0" w:color="auto"/>
              <w:right w:val="single" w:sz="4" w:space="0" w:color="auto"/>
            </w:tcBorders>
            <w:shd w:val="clear" w:color="000000" w:fill="BDD7EE"/>
            <w:noWrap/>
            <w:vAlign w:val="center"/>
            <w:hideMark/>
          </w:tcPr>
          <w:p w14:paraId="3782C6F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38.71</w:t>
            </w:r>
          </w:p>
        </w:tc>
        <w:tc>
          <w:tcPr>
            <w:tcW w:w="850" w:type="dxa"/>
            <w:tcBorders>
              <w:top w:val="nil"/>
              <w:left w:val="nil"/>
              <w:bottom w:val="single" w:sz="4" w:space="0" w:color="auto"/>
              <w:right w:val="single" w:sz="4" w:space="0" w:color="auto"/>
            </w:tcBorders>
            <w:shd w:val="clear" w:color="000000" w:fill="D9D9D9"/>
            <w:noWrap/>
            <w:vAlign w:val="center"/>
            <w:hideMark/>
          </w:tcPr>
          <w:p w14:paraId="2F180677"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1.06</w:t>
            </w:r>
          </w:p>
        </w:tc>
        <w:tc>
          <w:tcPr>
            <w:tcW w:w="850" w:type="dxa"/>
            <w:tcBorders>
              <w:top w:val="nil"/>
              <w:left w:val="nil"/>
              <w:bottom w:val="single" w:sz="4" w:space="0" w:color="auto"/>
              <w:right w:val="single" w:sz="4" w:space="0" w:color="auto"/>
            </w:tcBorders>
            <w:shd w:val="clear" w:color="auto" w:fill="auto"/>
            <w:noWrap/>
            <w:vAlign w:val="center"/>
            <w:hideMark/>
          </w:tcPr>
          <w:p w14:paraId="47BCCC10"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39.77</w:t>
            </w:r>
          </w:p>
        </w:tc>
        <w:tc>
          <w:tcPr>
            <w:tcW w:w="850" w:type="dxa"/>
            <w:tcBorders>
              <w:top w:val="nil"/>
              <w:left w:val="nil"/>
              <w:bottom w:val="single" w:sz="4" w:space="0" w:color="auto"/>
              <w:right w:val="single" w:sz="4" w:space="0" w:color="auto"/>
            </w:tcBorders>
            <w:shd w:val="clear" w:color="000000" w:fill="BDD7EE"/>
            <w:noWrap/>
            <w:vAlign w:val="center"/>
            <w:hideMark/>
          </w:tcPr>
          <w:p w14:paraId="30ED4A9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28.08</w:t>
            </w:r>
          </w:p>
        </w:tc>
        <w:tc>
          <w:tcPr>
            <w:tcW w:w="850" w:type="dxa"/>
            <w:tcBorders>
              <w:top w:val="nil"/>
              <w:left w:val="nil"/>
              <w:bottom w:val="single" w:sz="4" w:space="0" w:color="auto"/>
              <w:right w:val="single" w:sz="4" w:space="0" w:color="auto"/>
            </w:tcBorders>
            <w:shd w:val="clear" w:color="000000" w:fill="D9D9D9"/>
            <w:noWrap/>
            <w:vAlign w:val="center"/>
            <w:hideMark/>
          </w:tcPr>
          <w:p w14:paraId="1A5284D4"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6ABE7EEC"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28.08</w:t>
            </w:r>
          </w:p>
        </w:tc>
        <w:tc>
          <w:tcPr>
            <w:tcW w:w="850" w:type="dxa"/>
            <w:tcBorders>
              <w:top w:val="nil"/>
              <w:left w:val="nil"/>
              <w:bottom w:val="single" w:sz="4" w:space="0" w:color="auto"/>
              <w:right w:val="single" w:sz="4" w:space="0" w:color="auto"/>
            </w:tcBorders>
            <w:shd w:val="clear" w:color="000000" w:fill="BDD7EE"/>
            <w:noWrap/>
            <w:vAlign w:val="center"/>
            <w:hideMark/>
          </w:tcPr>
          <w:p w14:paraId="29180FA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33.39</w:t>
            </w:r>
          </w:p>
        </w:tc>
        <w:tc>
          <w:tcPr>
            <w:tcW w:w="850" w:type="dxa"/>
            <w:tcBorders>
              <w:top w:val="nil"/>
              <w:left w:val="nil"/>
              <w:bottom w:val="single" w:sz="4" w:space="0" w:color="auto"/>
              <w:right w:val="single" w:sz="4" w:space="0" w:color="auto"/>
            </w:tcBorders>
            <w:shd w:val="clear" w:color="000000" w:fill="D9D9D9"/>
            <w:noWrap/>
            <w:vAlign w:val="center"/>
            <w:hideMark/>
          </w:tcPr>
          <w:p w14:paraId="1B1C82E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0.53</w:t>
            </w:r>
          </w:p>
        </w:tc>
        <w:tc>
          <w:tcPr>
            <w:tcW w:w="850" w:type="dxa"/>
            <w:tcBorders>
              <w:top w:val="nil"/>
              <w:left w:val="nil"/>
              <w:bottom w:val="single" w:sz="4" w:space="0" w:color="auto"/>
              <w:right w:val="single" w:sz="4" w:space="0" w:color="auto"/>
            </w:tcBorders>
            <w:shd w:val="clear" w:color="auto" w:fill="auto"/>
            <w:noWrap/>
            <w:vAlign w:val="center"/>
            <w:hideMark/>
          </w:tcPr>
          <w:p w14:paraId="2FD6DBF1"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33.93</w:t>
            </w:r>
          </w:p>
        </w:tc>
      </w:tr>
      <w:tr w:rsidR="002B18F9" w:rsidRPr="00B92499" w14:paraId="289DE386" w14:textId="77777777" w:rsidTr="002B18F9">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53B38A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w:t>
            </w:r>
          </w:p>
        </w:tc>
        <w:tc>
          <w:tcPr>
            <w:tcW w:w="1304" w:type="dxa"/>
            <w:tcBorders>
              <w:top w:val="nil"/>
              <w:left w:val="nil"/>
              <w:bottom w:val="single" w:sz="4" w:space="0" w:color="auto"/>
              <w:right w:val="single" w:sz="4" w:space="0" w:color="auto"/>
            </w:tcBorders>
            <w:shd w:val="clear" w:color="000000" w:fill="FFFFFF"/>
            <w:vAlign w:val="center"/>
            <w:hideMark/>
          </w:tcPr>
          <w:p w14:paraId="5BF8A68C" w14:textId="77777777" w:rsidR="002B18F9" w:rsidRPr="00B92499" w:rsidRDefault="002B18F9" w:rsidP="002B18F9">
            <w:pPr>
              <w:rPr>
                <w:rFonts w:ascii="Arial" w:hAnsi="Arial" w:cs="Arial"/>
                <w:color w:val="000000"/>
                <w:sz w:val="16"/>
                <w:szCs w:val="16"/>
              </w:rPr>
            </w:pPr>
            <w:r w:rsidRPr="00B92499">
              <w:rPr>
                <w:rFonts w:ascii="Arial" w:hAnsi="Arial" w:cs="Arial"/>
                <w:color w:val="000000"/>
                <w:sz w:val="16"/>
                <w:szCs w:val="16"/>
              </w:rPr>
              <w:t>Fondo Público de Atención al Ciclista y al Peatón</w:t>
            </w:r>
          </w:p>
        </w:tc>
        <w:tc>
          <w:tcPr>
            <w:tcW w:w="850" w:type="dxa"/>
            <w:tcBorders>
              <w:top w:val="nil"/>
              <w:left w:val="nil"/>
              <w:bottom w:val="single" w:sz="4" w:space="0" w:color="auto"/>
              <w:right w:val="single" w:sz="4" w:space="0" w:color="auto"/>
            </w:tcBorders>
            <w:shd w:val="clear" w:color="000000" w:fill="BDD7EE"/>
            <w:noWrap/>
            <w:vAlign w:val="center"/>
            <w:hideMark/>
          </w:tcPr>
          <w:p w14:paraId="6D1A20D3"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7.08</w:t>
            </w:r>
          </w:p>
        </w:tc>
        <w:tc>
          <w:tcPr>
            <w:tcW w:w="850" w:type="dxa"/>
            <w:tcBorders>
              <w:top w:val="nil"/>
              <w:left w:val="nil"/>
              <w:bottom w:val="single" w:sz="4" w:space="0" w:color="auto"/>
              <w:right w:val="single" w:sz="4" w:space="0" w:color="auto"/>
            </w:tcBorders>
            <w:shd w:val="clear" w:color="000000" w:fill="D9D9D9"/>
            <w:noWrap/>
            <w:vAlign w:val="center"/>
            <w:hideMark/>
          </w:tcPr>
          <w:p w14:paraId="1E6A21EF"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68A49B3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7.08</w:t>
            </w:r>
          </w:p>
        </w:tc>
        <w:tc>
          <w:tcPr>
            <w:tcW w:w="850" w:type="dxa"/>
            <w:tcBorders>
              <w:top w:val="nil"/>
              <w:left w:val="nil"/>
              <w:bottom w:val="single" w:sz="4" w:space="0" w:color="auto"/>
              <w:right w:val="single" w:sz="4" w:space="0" w:color="auto"/>
            </w:tcBorders>
            <w:shd w:val="clear" w:color="000000" w:fill="BDD7EE"/>
            <w:noWrap/>
            <w:vAlign w:val="center"/>
            <w:hideMark/>
          </w:tcPr>
          <w:p w14:paraId="0DE3CBE7"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8.33</w:t>
            </w:r>
          </w:p>
        </w:tc>
        <w:tc>
          <w:tcPr>
            <w:tcW w:w="850" w:type="dxa"/>
            <w:tcBorders>
              <w:top w:val="nil"/>
              <w:left w:val="nil"/>
              <w:bottom w:val="single" w:sz="4" w:space="0" w:color="auto"/>
              <w:right w:val="single" w:sz="4" w:space="0" w:color="auto"/>
            </w:tcBorders>
            <w:shd w:val="clear" w:color="000000" w:fill="D9D9D9"/>
            <w:noWrap/>
            <w:vAlign w:val="center"/>
            <w:hideMark/>
          </w:tcPr>
          <w:p w14:paraId="7712097F"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0A035044"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8.33</w:t>
            </w:r>
          </w:p>
        </w:tc>
        <w:tc>
          <w:tcPr>
            <w:tcW w:w="850" w:type="dxa"/>
            <w:tcBorders>
              <w:top w:val="nil"/>
              <w:left w:val="nil"/>
              <w:bottom w:val="single" w:sz="4" w:space="0" w:color="auto"/>
              <w:right w:val="single" w:sz="4" w:space="0" w:color="auto"/>
            </w:tcBorders>
            <w:shd w:val="clear" w:color="000000" w:fill="BDD7EE"/>
            <w:noWrap/>
            <w:vAlign w:val="center"/>
            <w:hideMark/>
          </w:tcPr>
          <w:p w14:paraId="3C2AEF62"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7.71</w:t>
            </w:r>
          </w:p>
        </w:tc>
        <w:tc>
          <w:tcPr>
            <w:tcW w:w="850" w:type="dxa"/>
            <w:tcBorders>
              <w:top w:val="nil"/>
              <w:left w:val="nil"/>
              <w:bottom w:val="single" w:sz="4" w:space="0" w:color="auto"/>
              <w:right w:val="single" w:sz="4" w:space="0" w:color="auto"/>
            </w:tcBorders>
            <w:shd w:val="clear" w:color="000000" w:fill="D9D9D9"/>
            <w:noWrap/>
            <w:vAlign w:val="center"/>
            <w:hideMark/>
          </w:tcPr>
          <w:p w14:paraId="562E62A9"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14:paraId="4C8BC1FD" w14:textId="77777777" w:rsidR="002B18F9" w:rsidRPr="00B92499" w:rsidRDefault="002B18F9" w:rsidP="002B18F9">
            <w:pPr>
              <w:jc w:val="center"/>
              <w:rPr>
                <w:rFonts w:ascii="Arial" w:hAnsi="Arial" w:cs="Arial"/>
                <w:color w:val="000000"/>
                <w:sz w:val="16"/>
                <w:szCs w:val="16"/>
              </w:rPr>
            </w:pPr>
            <w:r w:rsidRPr="00B92499">
              <w:rPr>
                <w:rFonts w:ascii="Arial" w:hAnsi="Arial" w:cs="Arial"/>
                <w:color w:val="000000"/>
                <w:sz w:val="16"/>
                <w:szCs w:val="16"/>
              </w:rPr>
              <w:t>7.71</w:t>
            </w:r>
          </w:p>
        </w:tc>
      </w:tr>
    </w:tbl>
    <w:p w14:paraId="4C2E52A3" w14:textId="77777777" w:rsidR="002B18F9" w:rsidRPr="00B92499" w:rsidRDefault="002B18F9" w:rsidP="002B18F9">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28251195" w14:textId="77777777" w:rsidR="002B18F9" w:rsidRPr="00B92499" w:rsidRDefault="002B18F9" w:rsidP="002B18F9">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312036DB" w14:textId="10D94109"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al porcentaje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3BE52C1A" w14:textId="27122E3A"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61D9B24B" w14:textId="0F310287"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al porcentaje 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7799C0B5" w14:textId="743A3E28"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6082DB4F" w14:textId="45413DAF"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PNT: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172453C6" w14:textId="5176CAC9" w:rsidR="002B18F9" w:rsidRPr="00B92499" w:rsidRDefault="002B18F9" w:rsidP="002B18F9">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67AE7FE2"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2C6D00B5" w14:textId="37D059A3"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la Tabla de Aplicabilidad realizada por la DEAEE del Instituto, las obligaciones que los Órganos Desconcentrados deben actualizar y publicar en el SIPOT de la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6CC0E00A" w14:textId="4936FA0B"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121. Obligaciones comunes, </w:t>
      </w:r>
    </w:p>
    <w:p w14:paraId="3E5FD9FE" w14:textId="5D23453F"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123. Obligaciones específicas del Poder Ejecutivo para los Órganos Desconcentrados en </w:t>
      </w:r>
      <w:r w:rsidRPr="00B92499">
        <w:rPr>
          <w:rFonts w:ascii="Arial" w:hAnsi="Arial" w:cs="Arial"/>
          <w:i/>
          <w:iCs/>
          <w:sz w:val="24"/>
          <w:szCs w:val="24"/>
          <w:lang w:val="es-ES_tradnl"/>
        </w:rPr>
        <w:t>stricto sensu,</w:t>
      </w:r>
    </w:p>
    <w:p w14:paraId="7E3AB093" w14:textId="2D246624"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135. Obligaciones específicas de los fideicomisos, fondos públicos y otros análogos,</w:t>
      </w:r>
    </w:p>
    <w:p w14:paraId="2C94E64C" w14:textId="686F4E44"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136. Obligaciones específicas de los fideicomisos, fondos públicos y otros análogos, </w:t>
      </w:r>
    </w:p>
    <w:p w14:paraId="6753C4DA" w14:textId="111A62B8"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Artículo 143. Disposiciones Particulares,</w:t>
      </w:r>
    </w:p>
    <w:p w14:paraId="13B3D7D5" w14:textId="3C49E26B"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145. Disposiciones Particulares,</w:t>
      </w:r>
    </w:p>
    <w:p w14:paraId="756BCAC9" w14:textId="797FF7D6"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146. Disposiciones Particulares, y </w:t>
      </w:r>
    </w:p>
    <w:p w14:paraId="434F7B01" w14:textId="3D53CC32" w:rsidR="002B18F9" w:rsidRPr="00B92499" w:rsidRDefault="002B18F9" w:rsidP="009F64B5">
      <w:pPr>
        <w:pStyle w:val="Prrafodelista"/>
        <w:numPr>
          <w:ilvl w:val="0"/>
          <w:numId w:val="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147. Disposiciones Particulares.</w:t>
      </w:r>
    </w:p>
    <w:p w14:paraId="5B2EA41D" w14:textId="77777777" w:rsidR="002B18F9" w:rsidRPr="00B92499" w:rsidRDefault="002B18F9" w:rsidP="009F64B5">
      <w:pPr>
        <w:pStyle w:val="Ttulo3"/>
        <w:numPr>
          <w:ilvl w:val="2"/>
          <w:numId w:val="8"/>
        </w:numPr>
        <w:contextualSpacing/>
        <w:rPr>
          <w:rFonts w:ascii="Arial" w:hAnsi="Arial" w:cs="Arial"/>
          <w:b/>
          <w:color w:val="auto"/>
        </w:rPr>
      </w:pPr>
      <w:bookmarkStart w:id="22" w:name="_Toc23252978"/>
      <w:r w:rsidRPr="00B92499">
        <w:rPr>
          <w:rFonts w:ascii="Arial" w:hAnsi="Arial" w:cs="Arial"/>
          <w:b/>
          <w:color w:val="auto"/>
        </w:rPr>
        <w:t>Análisis global de cumplimiento de los Órganos Desconcentrados</w:t>
      </w:r>
      <w:bookmarkEnd w:id="22"/>
    </w:p>
    <w:p w14:paraId="275AC2B4" w14:textId="77777777" w:rsidR="002B18F9" w:rsidRPr="00B92499" w:rsidRDefault="002B18F9" w:rsidP="002B18F9">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Índices Globales de Cumplimiento </w:t>
      </w:r>
    </w:p>
    <w:p w14:paraId="5FEC48E2"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06B4E99C" w14:textId="68A2B2A5"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IGOT, la calificación más alta fue de 100% y las más baja de 7.71%; obteniendo este orden de gobierno una calificación promedio de 66.72%. Un </w:t>
      </w:r>
      <w:r w:rsidR="008710F6" w:rsidRPr="00B92499">
        <w:rPr>
          <w:rFonts w:ascii="Arial" w:hAnsi="Arial" w:cs="Arial"/>
        </w:rPr>
        <w:t>sujeto obligado</w:t>
      </w:r>
      <w:r w:rsidRPr="00B92499">
        <w:rPr>
          <w:rFonts w:ascii="Arial" w:hAnsi="Arial" w:cs="Arial"/>
        </w:rPr>
        <w:t xml:space="preserve"> obtuvo un cumplimiento total,</w:t>
      </w:r>
      <w:r w:rsidR="000D67A7" w:rsidRPr="00B92499">
        <w:rPr>
          <w:rFonts w:ascii="Arial" w:hAnsi="Arial" w:cs="Arial"/>
        </w:rPr>
        <w:t xml:space="preserve"> 4 </w:t>
      </w:r>
      <w:r w:rsidR="008710F6" w:rsidRPr="00B92499">
        <w:rPr>
          <w:rFonts w:ascii="Arial" w:hAnsi="Arial" w:cs="Arial"/>
        </w:rPr>
        <w:t>sujeto</w:t>
      </w:r>
      <w:r w:rsidRPr="00B92499">
        <w:rPr>
          <w:rFonts w:ascii="Arial" w:hAnsi="Arial" w:cs="Arial"/>
        </w:rPr>
        <w:t>s obligado obtuvieron un cumplimento parcial entre 84.81% y 89.57% y</w:t>
      </w:r>
      <w:r w:rsidR="000D67A7" w:rsidRPr="00B92499">
        <w:rPr>
          <w:rFonts w:ascii="Arial" w:hAnsi="Arial" w:cs="Arial"/>
        </w:rPr>
        <w:t xml:space="preserve"> 3 </w:t>
      </w:r>
      <w:r w:rsidR="008710F6" w:rsidRPr="00B92499">
        <w:rPr>
          <w:rFonts w:ascii="Arial" w:hAnsi="Arial" w:cs="Arial"/>
        </w:rPr>
        <w:t>sujeto</w:t>
      </w:r>
      <w:r w:rsidRPr="00B92499">
        <w:rPr>
          <w:rFonts w:ascii="Arial" w:hAnsi="Arial" w:cs="Arial"/>
        </w:rPr>
        <w:t>s obligado obtuvieron un incumplimiento parcial entre 7.71% y 42.27%.</w:t>
      </w:r>
    </w:p>
    <w:p w14:paraId="6572C18A"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7E77A9FD" w14:textId="50903122"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este orden de gobierno existe un grado de cumplimiento de 66.72% en lo que respecta a la publicación general de la información, 70.79% sobre la publicación en la PNT y 62.64% en los portales institucionales de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w:t>
      </w:r>
    </w:p>
    <w:p w14:paraId="4FC14D77"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45C5A021" w14:textId="5CE67379"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No obstante, el grado de cumplimiento anteriormente señalado respecto del ámbito de l</w:t>
      </w:r>
      <w:r w:rsidR="009F734B" w:rsidRPr="00B92499">
        <w:rPr>
          <w:rFonts w:ascii="Arial" w:hAnsi="Arial" w:cs="Arial"/>
        </w:rPr>
        <w:t>os</w:t>
      </w:r>
      <w:r w:rsidRPr="00B92499">
        <w:rPr>
          <w:rFonts w:ascii="Arial" w:hAnsi="Arial" w:cs="Arial"/>
        </w:rPr>
        <w:t xml:space="preserve"> Órganos Desconcentrados está conformado por el índice de cumplimiento respecto de la información que se encuentra pública y actualizada tanto en los Portales de Internet Institucionales como en la Plataforma Nacional de Transparencia y el índice de cumplimiento respecto del cumplimiento de lo mandatado en las obligaciones de transparencia a través de la publicación de una nota fundada y motivada que aclara el por qué no se generó, publicó o actualizó la información. </w:t>
      </w:r>
    </w:p>
    <w:p w14:paraId="499CD9EB"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2160F499" w14:textId="77777777"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El grado de cumplimiento de este ámbito, consistente en 66.72% está integrado por 65.55% de información publicada y actualizada en atención a los principios </w:t>
      </w:r>
      <w:r w:rsidRPr="00B92499">
        <w:rPr>
          <w:rFonts w:ascii="Arial" w:hAnsi="Arial" w:cs="Arial"/>
        </w:rPr>
        <w:lastRenderedPageBreak/>
        <w:t xml:space="preserve">mandatados en la Ley de Transparencia Local y un 1.17% que corresponde a notas aclaratorias. </w:t>
      </w:r>
    </w:p>
    <w:p w14:paraId="1F945E76"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19F89648" w14:textId="4F0B983B" w:rsidR="002B18F9" w:rsidRPr="00B92499" w:rsidRDefault="002B18F9" w:rsidP="002B18F9">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70AA1195" w14:textId="77777777" w:rsidR="002B18F9" w:rsidRPr="00B92499" w:rsidRDefault="002B18F9" w:rsidP="002B18F9">
      <w:pPr>
        <w:spacing w:before="100" w:beforeAutospacing="1" w:after="100" w:afterAutospacing="1" w:line="360" w:lineRule="auto"/>
        <w:contextualSpacing/>
        <w:jc w:val="both"/>
        <w:rPr>
          <w:rFonts w:ascii="Arial" w:hAnsi="Arial" w:cs="Arial"/>
          <w:u w:val="single"/>
        </w:rPr>
      </w:pPr>
    </w:p>
    <w:p w14:paraId="477181A1" w14:textId="77777777"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orden de gobierno del ámbito ejecutivo ha cumplido parcialmente en la publicación y actualización de sus obligaciones comunes, específicas y disposiciones particulares; obteniendo un promedio de cumplimiento de 65.52%, 22.77% y 81.96% respectivamente. De lo anterior, se puede constatar que este ámbito se encuentra en un incumplimiento parcial en lo que respecta a los artículos que hacen referencia a las obligaciones de transparencia específicas. </w:t>
      </w:r>
    </w:p>
    <w:p w14:paraId="6886EB1B"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1AF6610C" w14:textId="22D9B575"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En esta misma línea, el artículo 145 tuvo un ICP de 98.44</w:t>
      </w:r>
      <w:r w:rsidR="00D4670A" w:rsidRPr="00B92499">
        <w:rPr>
          <w:rFonts w:ascii="Arial" w:hAnsi="Arial" w:cs="Arial"/>
        </w:rPr>
        <w:t>%</w:t>
      </w:r>
      <w:r w:rsidRPr="00B92499">
        <w:rPr>
          <w:rFonts w:ascii="Arial" w:hAnsi="Arial" w:cs="Arial"/>
        </w:rPr>
        <w:t xml:space="preserve">, el artículo 147 alcanzó un ICP de 82.50%, el artículo 143 obtuvo ICP de 78.44%, el artículo 146 logró un ICP de 68.48%, el artículo 123 tuvo un ICP de 68.31%, el artículo 121 logró un ICP de 65.52% y, por último, los artículos 135 y 136 obtuvieron un incumplimiento total. </w:t>
      </w:r>
    </w:p>
    <w:p w14:paraId="78F5D4F5"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09F7C5C6" w14:textId="77777777"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respecto de cada uno de los artículos que conforman el índice global, el ICP del artículo 121 está compuesto por 1.93%% de notas aclaratorias, el ICP del artículo 123 por 0.05% de notas, el ICP del artículo 146 por 8.56% de notas, el ICP del artículo 147 por 10.31% de notas y los ICPs de los artículos 135, 136, 143 y 145 no tuvieron cambio alguno, debido a que no fueron utilizadas notas aclaratorias.  </w:t>
      </w:r>
    </w:p>
    <w:p w14:paraId="016AFFB2"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00DFFD13" w14:textId="0ADBFD5B" w:rsidR="002B18F9" w:rsidRPr="00B92499" w:rsidRDefault="002B18F9" w:rsidP="009F64B5">
      <w:pPr>
        <w:pStyle w:val="Ttulo3"/>
        <w:numPr>
          <w:ilvl w:val="2"/>
          <w:numId w:val="8"/>
        </w:numPr>
        <w:contextualSpacing/>
        <w:rPr>
          <w:rFonts w:ascii="Arial" w:hAnsi="Arial" w:cs="Arial"/>
          <w:b/>
          <w:color w:val="auto"/>
        </w:rPr>
      </w:pPr>
      <w:bookmarkStart w:id="23" w:name="_Toc23252979"/>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121 y sus respectivas fracciones</w:t>
      </w:r>
      <w:bookmarkEnd w:id="23"/>
    </w:p>
    <w:p w14:paraId="2BFC783A" w14:textId="77777777" w:rsidR="002B18F9" w:rsidRPr="00B92499" w:rsidRDefault="002B18F9" w:rsidP="002B18F9">
      <w:pPr>
        <w:rPr>
          <w:rFonts w:ascii="Arial" w:hAnsi="Arial" w:cs="Arial"/>
        </w:rPr>
      </w:pPr>
    </w:p>
    <w:p w14:paraId="0F9D2280" w14:textId="1F800B2F"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los órganos desconcentrados obtuvieron un ICP de 65.52%, por lo que se encuentran dentro del área de cumplimiento parcial. En la misma línea, un </w:t>
      </w:r>
      <w:r w:rsidR="008710F6" w:rsidRPr="00B92499">
        <w:rPr>
          <w:rFonts w:ascii="Arial" w:hAnsi="Arial" w:cs="Arial"/>
        </w:rPr>
        <w:t>sujeto obligado</w:t>
      </w:r>
      <w:r w:rsidRPr="00B92499">
        <w:rPr>
          <w:rFonts w:ascii="Arial" w:hAnsi="Arial" w:cs="Arial"/>
        </w:rPr>
        <w:t xml:space="preserve"> obtuvo un cumplimiento total,</w:t>
      </w:r>
      <w:r w:rsidR="000D67A7" w:rsidRPr="00B92499">
        <w:rPr>
          <w:rFonts w:ascii="Arial" w:hAnsi="Arial" w:cs="Arial"/>
        </w:rPr>
        <w:t xml:space="preserve"> 4 </w:t>
      </w:r>
      <w:r w:rsidRPr="00B92499">
        <w:rPr>
          <w:rFonts w:ascii="Arial" w:hAnsi="Arial" w:cs="Arial"/>
        </w:rPr>
        <w:t xml:space="preserve">obtuvieron un </w:t>
      </w:r>
      <w:r w:rsidRPr="00B92499">
        <w:rPr>
          <w:rFonts w:ascii="Arial" w:hAnsi="Arial" w:cs="Arial"/>
        </w:rPr>
        <w:lastRenderedPageBreak/>
        <w:t>cumplimiento parcial entre 90.15% y 85.69% y</w:t>
      </w:r>
      <w:r w:rsidR="000D67A7" w:rsidRPr="00B92499">
        <w:rPr>
          <w:rFonts w:ascii="Arial" w:hAnsi="Arial" w:cs="Arial"/>
        </w:rPr>
        <w:t xml:space="preserve"> 3 </w:t>
      </w:r>
      <w:r w:rsidR="008710F6" w:rsidRPr="00B92499">
        <w:rPr>
          <w:rFonts w:ascii="Arial" w:hAnsi="Arial" w:cs="Arial"/>
        </w:rPr>
        <w:t>sujeto</w:t>
      </w:r>
      <w:r w:rsidRPr="00B92499">
        <w:rPr>
          <w:rFonts w:ascii="Arial" w:hAnsi="Arial" w:cs="Arial"/>
        </w:rPr>
        <w:t xml:space="preserve">s tuvieron un incumplimiento parcial entre 5.5% y 41.18%. </w:t>
      </w:r>
    </w:p>
    <w:p w14:paraId="1A413007"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51DC3C1E" w14:textId="09F7C091"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respecto de las 54 fracciones que integran este artículo, 21 fracciones se encuentran situadas en un incumplimiento parcial entre 46.22% y 59.95%, 31 fracciones en un cumplimiento parcial entre 60.76% y 97.19% y </w:t>
      </w:r>
      <w:r w:rsidR="000D67A7" w:rsidRPr="00B92499">
        <w:rPr>
          <w:rFonts w:ascii="Arial" w:hAnsi="Arial" w:cs="Arial"/>
        </w:rPr>
        <w:t>2</w:t>
      </w:r>
      <w:r w:rsidRPr="00B92499">
        <w:rPr>
          <w:rFonts w:ascii="Arial" w:hAnsi="Arial" w:cs="Arial"/>
        </w:rPr>
        <w:t xml:space="preserve"> fracciones con un cumplimiento total.</w:t>
      </w:r>
    </w:p>
    <w:p w14:paraId="08FB3C9B"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2950BF1B" w14:textId="269DD171"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La</w:t>
      </w:r>
      <w:r w:rsidR="009F734B" w:rsidRPr="00B92499">
        <w:rPr>
          <w:rFonts w:ascii="Arial" w:hAnsi="Arial" w:cs="Arial"/>
        </w:rPr>
        <w:t>s</w:t>
      </w:r>
      <w:r w:rsidR="000D67A7" w:rsidRPr="00B92499">
        <w:rPr>
          <w:rFonts w:ascii="Arial" w:hAnsi="Arial" w:cs="Arial"/>
        </w:rPr>
        <w:t xml:space="preserve"> 5</w:t>
      </w:r>
      <w:r w:rsidRPr="00B92499">
        <w:rPr>
          <w:rFonts w:ascii="Arial" w:hAnsi="Arial" w:cs="Arial"/>
        </w:rPr>
        <w:t xml:space="preserve"> fracciones que tienen mayor área de oportunidad, ya que se colocaron en un incumplimiento parcial entre 46.22% y 50.16% son las siguientes: </w:t>
      </w:r>
    </w:p>
    <w:p w14:paraId="19C03C83" w14:textId="77777777" w:rsidR="002B18F9" w:rsidRPr="00B92499" w:rsidRDefault="002B18F9" w:rsidP="002B18F9">
      <w:pPr>
        <w:pStyle w:val="Prrafodelista"/>
        <w:numPr>
          <w:ilvl w:val="0"/>
          <w:numId w:val="2"/>
        </w:numPr>
        <w:spacing w:line="360" w:lineRule="auto"/>
        <w:jc w:val="both"/>
        <w:rPr>
          <w:rFonts w:ascii="Arial" w:hAnsi="Arial" w:cs="Arial"/>
          <w:sz w:val="24"/>
          <w:szCs w:val="24"/>
          <w:lang w:val="es-ES_tradnl"/>
        </w:rPr>
      </w:pPr>
      <w:r w:rsidRPr="00B92499">
        <w:rPr>
          <w:rFonts w:ascii="Arial" w:hAnsi="Arial" w:cs="Arial"/>
          <w:sz w:val="24"/>
          <w:szCs w:val="24"/>
          <w:lang w:val="es-ES_tradnl"/>
        </w:rPr>
        <w:t>Fracción L, con un ICP de 46.22%, en la cual se mandata la publicación de la calendarización, minutas y actas de las reuniones públicas de los consejos, colegiados, gabinetes, sesiones plenarias, comités, comisiones, entre otros. El área de oportunidad de los Órganos Desconcentrados respecto de esta fracción es publicar y actualizar al segundo trimestre del año 2019 la información anteriormente señalada.</w:t>
      </w:r>
    </w:p>
    <w:p w14:paraId="7EDE2EEC" w14:textId="77777777" w:rsidR="002B18F9" w:rsidRPr="00B92499" w:rsidRDefault="002B18F9" w:rsidP="002B18F9">
      <w:pPr>
        <w:pStyle w:val="Prrafodelista"/>
        <w:numPr>
          <w:ilvl w:val="0"/>
          <w:numId w:val="2"/>
        </w:numPr>
        <w:spacing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XXXIX con un ICP de 46.69%, en la cual se estipula la publicación de las resoluciones y laudos que se emitan en procesos seguidos en forma de juicio. El área de oportunidad de los Órganos Desconcentrados respecto de esta fracción es publicar y actualizar al segundo trimestre del año 2019 la información anteriormente señalada; así como verificar el correcto funcionamiento de los hipervínculos. </w:t>
      </w:r>
    </w:p>
    <w:p w14:paraId="2CBB22ED" w14:textId="77777777" w:rsidR="002B18F9" w:rsidRPr="00B92499" w:rsidRDefault="002B18F9" w:rsidP="002B18F9">
      <w:pPr>
        <w:pStyle w:val="Prrafodelista"/>
        <w:numPr>
          <w:ilvl w:val="0"/>
          <w:numId w:val="2"/>
        </w:numPr>
        <w:spacing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XLVII con un ICP de 47.45%, en la cual se mandata la publicación de los ingresos recibidos por cualquier concepto. El área de oportunidad de los Órganos Desconcentrados respecto de esta fracción es publicar y actualizar al segundo trimestre del año 2019 la información anteriormente señalada. </w:t>
      </w:r>
    </w:p>
    <w:p w14:paraId="22379612" w14:textId="77777777" w:rsidR="002B18F9" w:rsidRPr="00B92499" w:rsidRDefault="002B18F9" w:rsidP="002B18F9">
      <w:pPr>
        <w:pStyle w:val="Prrafodelista"/>
        <w:numPr>
          <w:ilvl w:val="0"/>
          <w:numId w:val="2"/>
        </w:numPr>
        <w:spacing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XXXIII con un ICP de 49.79%, consistente en la publicación del informe de avances programáticos o presupuestales. El área de oportunidad de los Órganos Desconcentrados respecto de esta fracción es publicar y </w:t>
      </w:r>
      <w:r w:rsidRPr="00B92499">
        <w:rPr>
          <w:rFonts w:ascii="Arial" w:hAnsi="Arial" w:cs="Arial"/>
          <w:sz w:val="24"/>
          <w:szCs w:val="24"/>
          <w:lang w:val="es-ES_tradnl"/>
        </w:rPr>
        <w:lastRenderedPageBreak/>
        <w:t xml:space="preserve">actualizar al segundo trimestre del año 2019 la información anteriormente señalada. </w:t>
      </w:r>
    </w:p>
    <w:p w14:paraId="4984FE50" w14:textId="77777777" w:rsidR="002B18F9" w:rsidRPr="00B92499" w:rsidRDefault="002B18F9" w:rsidP="002B18F9">
      <w:pPr>
        <w:pStyle w:val="Prrafodelista"/>
        <w:numPr>
          <w:ilvl w:val="0"/>
          <w:numId w:val="2"/>
        </w:numPr>
        <w:spacing w:line="360" w:lineRule="auto"/>
        <w:jc w:val="both"/>
        <w:rPr>
          <w:rFonts w:ascii="Arial" w:hAnsi="Arial" w:cs="Arial"/>
          <w:sz w:val="24"/>
          <w:szCs w:val="24"/>
          <w:lang w:val="es-ES_tradnl"/>
        </w:rPr>
      </w:pPr>
      <w:r w:rsidRPr="00B92499">
        <w:rPr>
          <w:rFonts w:ascii="Arial" w:hAnsi="Arial" w:cs="Arial"/>
          <w:sz w:val="24"/>
          <w:szCs w:val="24"/>
          <w:lang w:val="es-ES_tradnl"/>
        </w:rPr>
        <w:t>Fracción LII con un ICP de 50.16%, la cual mandata la publicación de cualquier otra información que sea de utilidad o se considere relevante. El área de oportunidad de los Órganos Desconcentrados respecto de esta fracción es publicar y actualizar al segundo trimestre del año 2019 la información anteriormente señalada o en el caso de no generar la misma, fundar y motivar la no generación a través de una nota.</w:t>
      </w:r>
    </w:p>
    <w:p w14:paraId="0E1D31BC" w14:textId="0DF50DF1"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las </w:t>
      </w:r>
      <w:r w:rsidR="000D67A7" w:rsidRPr="00B92499">
        <w:rPr>
          <w:rFonts w:ascii="Arial" w:hAnsi="Arial" w:cs="Arial"/>
        </w:rPr>
        <w:t>2</w:t>
      </w:r>
      <w:r w:rsidRPr="00B92499">
        <w:rPr>
          <w:rFonts w:ascii="Arial" w:hAnsi="Arial" w:cs="Arial"/>
        </w:rPr>
        <w:t xml:space="preserve"> fracciones con un ICP de 100% son las que se detallan a continuación</w:t>
      </w:r>
    </w:p>
    <w:p w14:paraId="1109B7A4" w14:textId="77777777" w:rsidR="002B18F9" w:rsidRPr="00B92499" w:rsidRDefault="002B18F9" w:rsidP="002B18F9">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XLVIII, consistente en la publicación de las donaciones en dinero o especie hechas por terceros. </w:t>
      </w:r>
    </w:p>
    <w:p w14:paraId="3CD6C6DA" w14:textId="77777777" w:rsidR="002B18F9" w:rsidRPr="00B92499" w:rsidRDefault="002B18F9" w:rsidP="002B18F9">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LI, la cual mandata la publicación del listado de solicitudes a las empresas concesionarias de telecomunicaciones y proveedores de servicios de internet para la intervención de comunicación y la geolocalización.</w:t>
      </w:r>
    </w:p>
    <w:p w14:paraId="16975C7C" w14:textId="77777777" w:rsidR="002B18F9" w:rsidRPr="00B92499" w:rsidRDefault="002B18F9" w:rsidP="002B18F9">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121 es presentada la siguiente tabla ordenada de forma descendente.</w:t>
      </w:r>
    </w:p>
    <w:tbl>
      <w:tblPr>
        <w:tblW w:w="8927" w:type="dxa"/>
        <w:tblCellMar>
          <w:left w:w="70" w:type="dxa"/>
          <w:right w:w="70" w:type="dxa"/>
        </w:tblCellMar>
        <w:tblLook w:val="04A0" w:firstRow="1" w:lastRow="0" w:firstColumn="1" w:lastColumn="0" w:noHBand="0" w:noVBand="1"/>
      </w:tblPr>
      <w:tblGrid>
        <w:gridCol w:w="974"/>
        <w:gridCol w:w="7246"/>
        <w:gridCol w:w="707"/>
      </w:tblGrid>
      <w:tr w:rsidR="002B18F9" w:rsidRPr="00B92499" w14:paraId="3A9802DA" w14:textId="77777777" w:rsidTr="002B18F9">
        <w:trPr>
          <w:trHeight w:val="20"/>
          <w:tblHeader/>
        </w:trPr>
        <w:tc>
          <w:tcPr>
            <w:tcW w:w="8927"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7C3B8DE" w14:textId="1F90A35A"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2B18F9" w:rsidRPr="00B92499" w14:paraId="26616573" w14:textId="77777777" w:rsidTr="002B18F9">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74B235BE"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73C49DFA"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770" w:type="dxa"/>
            <w:tcBorders>
              <w:top w:val="nil"/>
              <w:left w:val="nil"/>
              <w:bottom w:val="single" w:sz="4" w:space="0" w:color="auto"/>
              <w:right w:val="single" w:sz="4" w:space="0" w:color="auto"/>
            </w:tcBorders>
            <w:shd w:val="clear" w:color="auto" w:fill="00B0F0"/>
            <w:vAlign w:val="center"/>
            <w:hideMark/>
          </w:tcPr>
          <w:p w14:paraId="58ED65A6"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2B18F9" w:rsidRPr="00B92499" w14:paraId="1F58C65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7DC5F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XLVIII</w:t>
            </w:r>
          </w:p>
        </w:tc>
        <w:tc>
          <w:tcPr>
            <w:tcW w:w="0" w:type="auto"/>
            <w:tcBorders>
              <w:top w:val="nil"/>
              <w:left w:val="nil"/>
              <w:bottom w:val="single" w:sz="4" w:space="0" w:color="auto"/>
              <w:right w:val="single" w:sz="4" w:space="0" w:color="auto"/>
            </w:tcBorders>
            <w:shd w:val="clear" w:color="auto" w:fill="auto"/>
            <w:vAlign w:val="center"/>
            <w:hideMark/>
          </w:tcPr>
          <w:p w14:paraId="511F8E3C"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Donaciones en dinero o especie hechas por terceros. </w:t>
            </w:r>
          </w:p>
        </w:tc>
        <w:tc>
          <w:tcPr>
            <w:tcW w:w="770" w:type="dxa"/>
            <w:tcBorders>
              <w:top w:val="nil"/>
              <w:left w:val="nil"/>
              <w:bottom w:val="single" w:sz="4" w:space="0" w:color="auto"/>
              <w:right w:val="single" w:sz="4" w:space="0" w:color="auto"/>
            </w:tcBorders>
            <w:shd w:val="clear" w:color="auto" w:fill="auto"/>
            <w:vAlign w:val="center"/>
            <w:hideMark/>
          </w:tcPr>
          <w:p w14:paraId="42A06BEA" w14:textId="2D3C1FAA" w:rsidR="002B18F9" w:rsidRPr="00B92499" w:rsidRDefault="002B18F9" w:rsidP="00FE4968">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2B18F9" w:rsidRPr="00B92499" w14:paraId="391FDD8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BD419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LI</w:t>
            </w:r>
          </w:p>
        </w:tc>
        <w:tc>
          <w:tcPr>
            <w:tcW w:w="0" w:type="auto"/>
            <w:tcBorders>
              <w:top w:val="nil"/>
              <w:left w:val="nil"/>
              <w:bottom w:val="single" w:sz="4" w:space="0" w:color="auto"/>
              <w:right w:val="single" w:sz="4" w:space="0" w:color="auto"/>
            </w:tcBorders>
            <w:shd w:val="clear" w:color="auto" w:fill="auto"/>
            <w:vAlign w:val="center"/>
            <w:hideMark/>
          </w:tcPr>
          <w:p w14:paraId="1689CC65"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Listado de solicitudes a las empresas concesionarias de telecomunicaciones y proveedores de servicios de internet para la intervención de comunicaciones y la geolocalización. </w:t>
            </w:r>
          </w:p>
        </w:tc>
        <w:tc>
          <w:tcPr>
            <w:tcW w:w="770" w:type="dxa"/>
            <w:tcBorders>
              <w:top w:val="nil"/>
              <w:left w:val="nil"/>
              <w:bottom w:val="single" w:sz="4" w:space="0" w:color="auto"/>
              <w:right w:val="single" w:sz="4" w:space="0" w:color="auto"/>
            </w:tcBorders>
            <w:shd w:val="clear" w:color="auto" w:fill="auto"/>
            <w:vAlign w:val="center"/>
            <w:hideMark/>
          </w:tcPr>
          <w:p w14:paraId="3F72FB4F" w14:textId="61DB1832" w:rsidR="002B18F9" w:rsidRPr="00B92499" w:rsidRDefault="002B18F9" w:rsidP="00FE4968">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2B18F9" w:rsidRPr="00B92499" w14:paraId="09939D67"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81E64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LIV</w:t>
            </w:r>
          </w:p>
        </w:tc>
        <w:tc>
          <w:tcPr>
            <w:tcW w:w="0" w:type="auto"/>
            <w:tcBorders>
              <w:top w:val="nil"/>
              <w:left w:val="nil"/>
              <w:bottom w:val="single" w:sz="4" w:space="0" w:color="auto"/>
              <w:right w:val="single" w:sz="4" w:space="0" w:color="auto"/>
            </w:tcBorders>
            <w:shd w:val="clear" w:color="auto" w:fill="auto"/>
            <w:vAlign w:val="center"/>
            <w:hideMark/>
          </w:tcPr>
          <w:p w14:paraId="106CC72E"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Personas beneficiadas, la temporalidad, los montos y todo aquello relacionado con el acto administrativo de los incentivos, condonaciones, reducciones fiscales, concesiones, permisos o licencias, entre otros actos. </w:t>
            </w:r>
          </w:p>
        </w:tc>
        <w:tc>
          <w:tcPr>
            <w:tcW w:w="770" w:type="dxa"/>
            <w:tcBorders>
              <w:top w:val="nil"/>
              <w:left w:val="nil"/>
              <w:bottom w:val="single" w:sz="4" w:space="0" w:color="auto"/>
              <w:right w:val="single" w:sz="4" w:space="0" w:color="auto"/>
            </w:tcBorders>
            <w:shd w:val="clear" w:color="auto" w:fill="auto"/>
            <w:vAlign w:val="center"/>
            <w:hideMark/>
          </w:tcPr>
          <w:p w14:paraId="3821F3D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97.19 </w:t>
            </w:r>
          </w:p>
        </w:tc>
      </w:tr>
      <w:tr w:rsidR="002B18F9" w:rsidRPr="00B92499" w14:paraId="1AE64D6A"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0A314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XLII</w:t>
            </w:r>
          </w:p>
        </w:tc>
        <w:tc>
          <w:tcPr>
            <w:tcW w:w="0" w:type="auto"/>
            <w:tcBorders>
              <w:top w:val="nil"/>
              <w:left w:val="nil"/>
              <w:bottom w:val="single" w:sz="4" w:space="0" w:color="auto"/>
              <w:right w:val="single" w:sz="4" w:space="0" w:color="auto"/>
            </w:tcBorders>
            <w:shd w:val="clear" w:color="auto" w:fill="auto"/>
            <w:vAlign w:val="center"/>
            <w:hideMark/>
          </w:tcPr>
          <w:p w14:paraId="4511B88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Información relacionada con los programas y centros destinados a la práctica de actividad física, ejercicio y deporte. </w:t>
            </w:r>
          </w:p>
        </w:tc>
        <w:tc>
          <w:tcPr>
            <w:tcW w:w="770" w:type="dxa"/>
            <w:tcBorders>
              <w:top w:val="nil"/>
              <w:left w:val="nil"/>
              <w:bottom w:val="single" w:sz="4" w:space="0" w:color="auto"/>
              <w:right w:val="single" w:sz="4" w:space="0" w:color="auto"/>
            </w:tcBorders>
            <w:shd w:val="clear" w:color="auto" w:fill="auto"/>
            <w:vAlign w:val="center"/>
            <w:hideMark/>
          </w:tcPr>
          <w:p w14:paraId="53E1DCF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87.50 </w:t>
            </w:r>
          </w:p>
        </w:tc>
      </w:tr>
      <w:tr w:rsidR="002B18F9" w:rsidRPr="00B92499" w14:paraId="36069A78"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34AE0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500435A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Montos, criterios, convocatoria y convocatorias de personas físicas y morales que reciban recursos públicos o realicen actos de autoridad. </w:t>
            </w:r>
          </w:p>
        </w:tc>
        <w:tc>
          <w:tcPr>
            <w:tcW w:w="770" w:type="dxa"/>
            <w:tcBorders>
              <w:top w:val="nil"/>
              <w:left w:val="nil"/>
              <w:bottom w:val="single" w:sz="4" w:space="0" w:color="auto"/>
              <w:right w:val="single" w:sz="4" w:space="0" w:color="auto"/>
            </w:tcBorders>
            <w:shd w:val="clear" w:color="auto" w:fill="auto"/>
            <w:vAlign w:val="center"/>
            <w:hideMark/>
          </w:tcPr>
          <w:p w14:paraId="4C8C1B7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81.25 </w:t>
            </w:r>
          </w:p>
        </w:tc>
      </w:tr>
      <w:tr w:rsidR="002B18F9" w:rsidRPr="00B92499" w14:paraId="23B9523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60B93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w:t>
            </w:r>
          </w:p>
        </w:tc>
        <w:tc>
          <w:tcPr>
            <w:tcW w:w="0" w:type="auto"/>
            <w:tcBorders>
              <w:top w:val="nil"/>
              <w:left w:val="nil"/>
              <w:bottom w:val="single" w:sz="4" w:space="0" w:color="auto"/>
              <w:right w:val="single" w:sz="4" w:space="0" w:color="auto"/>
            </w:tcBorders>
            <w:shd w:val="clear" w:color="auto" w:fill="auto"/>
            <w:vAlign w:val="center"/>
            <w:hideMark/>
          </w:tcPr>
          <w:p w14:paraId="37AD9792"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Mecanismos de participación ciudadana.</w:t>
            </w:r>
          </w:p>
        </w:tc>
        <w:tc>
          <w:tcPr>
            <w:tcW w:w="770" w:type="dxa"/>
            <w:tcBorders>
              <w:top w:val="nil"/>
              <w:left w:val="nil"/>
              <w:bottom w:val="single" w:sz="4" w:space="0" w:color="auto"/>
              <w:right w:val="single" w:sz="4" w:space="0" w:color="auto"/>
            </w:tcBorders>
            <w:shd w:val="clear" w:color="auto" w:fill="auto"/>
            <w:vAlign w:val="center"/>
            <w:hideMark/>
          </w:tcPr>
          <w:p w14:paraId="199C7EC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78.15 </w:t>
            </w:r>
          </w:p>
        </w:tc>
      </w:tr>
      <w:tr w:rsidR="002B18F9" w:rsidRPr="00B92499" w14:paraId="7649731E"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94F13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XLIV</w:t>
            </w:r>
          </w:p>
        </w:tc>
        <w:tc>
          <w:tcPr>
            <w:tcW w:w="0" w:type="auto"/>
            <w:tcBorders>
              <w:top w:val="nil"/>
              <w:left w:val="nil"/>
              <w:bottom w:val="single" w:sz="4" w:space="0" w:color="auto"/>
              <w:right w:val="single" w:sz="4" w:space="0" w:color="auto"/>
            </w:tcBorders>
            <w:shd w:val="clear" w:color="auto" w:fill="auto"/>
            <w:vAlign w:val="center"/>
            <w:hideMark/>
          </w:tcPr>
          <w:p w14:paraId="47F6728B"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Evaluaciones y encuestas a programas financiados con recursos públicos. </w:t>
            </w:r>
          </w:p>
        </w:tc>
        <w:tc>
          <w:tcPr>
            <w:tcW w:w="770" w:type="dxa"/>
            <w:tcBorders>
              <w:top w:val="nil"/>
              <w:left w:val="nil"/>
              <w:bottom w:val="single" w:sz="4" w:space="0" w:color="auto"/>
              <w:right w:val="single" w:sz="4" w:space="0" w:color="auto"/>
            </w:tcBorders>
            <w:shd w:val="clear" w:color="auto" w:fill="auto"/>
            <w:vAlign w:val="center"/>
            <w:hideMark/>
          </w:tcPr>
          <w:p w14:paraId="549514B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75.00 </w:t>
            </w:r>
          </w:p>
        </w:tc>
      </w:tr>
      <w:tr w:rsidR="002B18F9" w:rsidRPr="00B92499" w14:paraId="64D362F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D24BA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XLVI</w:t>
            </w:r>
          </w:p>
        </w:tc>
        <w:tc>
          <w:tcPr>
            <w:tcW w:w="0" w:type="auto"/>
            <w:tcBorders>
              <w:top w:val="nil"/>
              <w:left w:val="nil"/>
              <w:bottom w:val="single" w:sz="4" w:space="0" w:color="auto"/>
              <w:right w:val="single" w:sz="4" w:space="0" w:color="auto"/>
            </w:tcBorders>
            <w:shd w:val="clear" w:color="auto" w:fill="auto"/>
            <w:vAlign w:val="center"/>
            <w:hideMark/>
          </w:tcPr>
          <w:p w14:paraId="70ACDB9F"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Listado de jubilados y pensionados y monto que reciben.</w:t>
            </w:r>
          </w:p>
        </w:tc>
        <w:tc>
          <w:tcPr>
            <w:tcW w:w="770" w:type="dxa"/>
            <w:tcBorders>
              <w:top w:val="nil"/>
              <w:left w:val="nil"/>
              <w:bottom w:val="single" w:sz="4" w:space="0" w:color="auto"/>
              <w:right w:val="single" w:sz="4" w:space="0" w:color="auto"/>
            </w:tcBorders>
            <w:shd w:val="clear" w:color="auto" w:fill="auto"/>
            <w:vAlign w:val="center"/>
            <w:hideMark/>
          </w:tcPr>
          <w:p w14:paraId="3272452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75.00 </w:t>
            </w:r>
          </w:p>
        </w:tc>
      </w:tr>
      <w:tr w:rsidR="002B18F9" w:rsidRPr="00B92499" w14:paraId="0475CA48"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87DB3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lastRenderedPageBreak/>
              <w:t>LIII</w:t>
            </w:r>
          </w:p>
        </w:tc>
        <w:tc>
          <w:tcPr>
            <w:tcW w:w="0" w:type="auto"/>
            <w:tcBorders>
              <w:top w:val="nil"/>
              <w:left w:val="nil"/>
              <w:bottom w:val="single" w:sz="4" w:space="0" w:color="auto"/>
              <w:right w:val="single" w:sz="4" w:space="0" w:color="auto"/>
            </w:tcBorders>
            <w:shd w:val="clear" w:color="auto" w:fill="auto"/>
            <w:vAlign w:val="center"/>
            <w:hideMark/>
          </w:tcPr>
          <w:p w14:paraId="22F0DB9E"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La ubicación de todas las obras públicas. </w:t>
            </w:r>
          </w:p>
        </w:tc>
        <w:tc>
          <w:tcPr>
            <w:tcW w:w="770" w:type="dxa"/>
            <w:tcBorders>
              <w:top w:val="nil"/>
              <w:left w:val="nil"/>
              <w:bottom w:val="single" w:sz="4" w:space="0" w:color="auto"/>
              <w:right w:val="single" w:sz="4" w:space="0" w:color="auto"/>
            </w:tcBorders>
            <w:shd w:val="clear" w:color="auto" w:fill="auto"/>
            <w:vAlign w:val="center"/>
            <w:hideMark/>
          </w:tcPr>
          <w:p w14:paraId="0D25F6B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74.84 </w:t>
            </w:r>
          </w:p>
        </w:tc>
      </w:tr>
      <w:tr w:rsidR="002B18F9" w:rsidRPr="00B92499" w14:paraId="0C3D4FD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DDE7C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XLV</w:t>
            </w:r>
          </w:p>
        </w:tc>
        <w:tc>
          <w:tcPr>
            <w:tcW w:w="0" w:type="auto"/>
            <w:tcBorders>
              <w:top w:val="nil"/>
              <w:left w:val="nil"/>
              <w:bottom w:val="single" w:sz="4" w:space="0" w:color="auto"/>
              <w:right w:val="single" w:sz="4" w:space="0" w:color="auto"/>
            </w:tcBorders>
            <w:shd w:val="clear" w:color="auto" w:fill="auto"/>
            <w:vAlign w:val="center"/>
            <w:hideMark/>
          </w:tcPr>
          <w:p w14:paraId="1D126D6E"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770" w:type="dxa"/>
            <w:tcBorders>
              <w:top w:val="nil"/>
              <w:left w:val="nil"/>
              <w:bottom w:val="single" w:sz="4" w:space="0" w:color="auto"/>
              <w:right w:val="single" w:sz="4" w:space="0" w:color="auto"/>
            </w:tcBorders>
            <w:shd w:val="clear" w:color="auto" w:fill="auto"/>
            <w:vAlign w:val="center"/>
            <w:hideMark/>
          </w:tcPr>
          <w:p w14:paraId="66FCD32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74.71 </w:t>
            </w:r>
          </w:p>
        </w:tc>
      </w:tr>
      <w:tr w:rsidR="002B18F9" w:rsidRPr="00B92499" w14:paraId="75D3244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2DC32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XLI</w:t>
            </w:r>
          </w:p>
        </w:tc>
        <w:tc>
          <w:tcPr>
            <w:tcW w:w="0" w:type="auto"/>
            <w:tcBorders>
              <w:top w:val="nil"/>
              <w:left w:val="nil"/>
              <w:bottom w:val="single" w:sz="4" w:space="0" w:color="auto"/>
              <w:right w:val="single" w:sz="4" w:space="0" w:color="auto"/>
            </w:tcBorders>
            <w:shd w:val="clear" w:color="auto" w:fill="auto"/>
            <w:vAlign w:val="center"/>
            <w:hideMark/>
          </w:tcPr>
          <w:p w14:paraId="21A572C9" w14:textId="159C7469"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Programas que ofrece el </w:t>
            </w:r>
            <w:r w:rsidR="008710F6" w:rsidRPr="00B92499">
              <w:rPr>
                <w:rFonts w:ascii="Arial" w:hAnsi="Arial" w:cs="Arial"/>
                <w:color w:val="000000"/>
                <w:sz w:val="20"/>
                <w:szCs w:val="20"/>
              </w:rPr>
              <w:t>sujeto obligado</w:t>
            </w:r>
            <w:r w:rsidRPr="00B92499">
              <w:rPr>
                <w:rFonts w:ascii="Arial" w:hAnsi="Arial" w:cs="Arial"/>
                <w:color w:val="000000"/>
                <w:sz w:val="20"/>
                <w:szCs w:val="20"/>
              </w:rPr>
              <w:t>, así como trámites, requisitos y formatos.</w:t>
            </w:r>
          </w:p>
        </w:tc>
        <w:tc>
          <w:tcPr>
            <w:tcW w:w="770" w:type="dxa"/>
            <w:tcBorders>
              <w:top w:val="nil"/>
              <w:left w:val="nil"/>
              <w:bottom w:val="single" w:sz="4" w:space="0" w:color="auto"/>
              <w:right w:val="single" w:sz="4" w:space="0" w:color="auto"/>
            </w:tcBorders>
            <w:shd w:val="clear" w:color="auto" w:fill="auto"/>
            <w:vAlign w:val="center"/>
            <w:hideMark/>
          </w:tcPr>
          <w:p w14:paraId="63314FE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74.69 </w:t>
            </w:r>
          </w:p>
        </w:tc>
      </w:tr>
      <w:tr w:rsidR="002B18F9" w:rsidRPr="00B92499" w14:paraId="7725EB58"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24F14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6448C698"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Estructura orgánica.</w:t>
            </w:r>
          </w:p>
        </w:tc>
        <w:tc>
          <w:tcPr>
            <w:tcW w:w="770" w:type="dxa"/>
            <w:tcBorders>
              <w:top w:val="nil"/>
              <w:left w:val="nil"/>
              <w:bottom w:val="single" w:sz="4" w:space="0" w:color="auto"/>
              <w:right w:val="single" w:sz="4" w:space="0" w:color="auto"/>
            </w:tcBorders>
            <w:shd w:val="clear" w:color="auto" w:fill="auto"/>
            <w:vAlign w:val="center"/>
            <w:hideMark/>
          </w:tcPr>
          <w:p w14:paraId="56F7AFF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74.12 </w:t>
            </w:r>
          </w:p>
        </w:tc>
      </w:tr>
      <w:tr w:rsidR="002B18F9" w:rsidRPr="00B92499" w14:paraId="602925D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C288A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360147E9"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Metas y objetivos de la Dirección conforme al POA.</w:t>
            </w:r>
          </w:p>
        </w:tc>
        <w:tc>
          <w:tcPr>
            <w:tcW w:w="770" w:type="dxa"/>
            <w:tcBorders>
              <w:top w:val="nil"/>
              <w:left w:val="nil"/>
              <w:bottom w:val="single" w:sz="4" w:space="0" w:color="auto"/>
              <w:right w:val="single" w:sz="4" w:space="0" w:color="auto"/>
            </w:tcBorders>
            <w:shd w:val="clear" w:color="auto" w:fill="auto"/>
            <w:vAlign w:val="center"/>
            <w:hideMark/>
          </w:tcPr>
          <w:p w14:paraId="6A3075E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71.82 </w:t>
            </w:r>
          </w:p>
        </w:tc>
      </w:tr>
      <w:tr w:rsidR="002B18F9" w:rsidRPr="00B92499" w14:paraId="67C0BBB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9CB48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07C613E2"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Servidores públicos con sanciones administrativas.</w:t>
            </w:r>
          </w:p>
        </w:tc>
        <w:tc>
          <w:tcPr>
            <w:tcW w:w="770" w:type="dxa"/>
            <w:tcBorders>
              <w:top w:val="nil"/>
              <w:left w:val="nil"/>
              <w:bottom w:val="single" w:sz="4" w:space="0" w:color="auto"/>
              <w:right w:val="single" w:sz="4" w:space="0" w:color="auto"/>
            </w:tcBorders>
            <w:shd w:val="clear" w:color="auto" w:fill="auto"/>
            <w:vAlign w:val="center"/>
            <w:hideMark/>
          </w:tcPr>
          <w:p w14:paraId="54F5761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69.19 </w:t>
            </w:r>
          </w:p>
        </w:tc>
      </w:tr>
      <w:tr w:rsidR="002B18F9" w:rsidRPr="00B92499" w14:paraId="7C92A61B"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EDD6A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2A51DFC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770" w:type="dxa"/>
            <w:tcBorders>
              <w:top w:val="nil"/>
              <w:left w:val="nil"/>
              <w:bottom w:val="single" w:sz="4" w:space="0" w:color="auto"/>
              <w:right w:val="single" w:sz="4" w:space="0" w:color="auto"/>
            </w:tcBorders>
            <w:shd w:val="clear" w:color="auto" w:fill="auto"/>
            <w:vAlign w:val="center"/>
            <w:hideMark/>
          </w:tcPr>
          <w:p w14:paraId="2203885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68.75 </w:t>
            </w:r>
          </w:p>
        </w:tc>
      </w:tr>
      <w:tr w:rsidR="002B18F9" w:rsidRPr="00B92499" w14:paraId="5B98B940"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FB499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63437315"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Facultades de cada área (dirección).</w:t>
            </w:r>
          </w:p>
        </w:tc>
        <w:tc>
          <w:tcPr>
            <w:tcW w:w="770" w:type="dxa"/>
            <w:tcBorders>
              <w:top w:val="nil"/>
              <w:left w:val="nil"/>
              <w:bottom w:val="single" w:sz="4" w:space="0" w:color="auto"/>
              <w:right w:val="single" w:sz="4" w:space="0" w:color="auto"/>
            </w:tcBorders>
            <w:shd w:val="clear" w:color="auto" w:fill="auto"/>
            <w:vAlign w:val="center"/>
            <w:hideMark/>
          </w:tcPr>
          <w:p w14:paraId="2DA2DA2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68.67 </w:t>
            </w:r>
          </w:p>
        </w:tc>
      </w:tr>
      <w:tr w:rsidR="002B18F9" w:rsidRPr="00B92499" w14:paraId="656C8EA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07C25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7DB74145"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Directorio del área.</w:t>
            </w:r>
          </w:p>
        </w:tc>
        <w:tc>
          <w:tcPr>
            <w:tcW w:w="770" w:type="dxa"/>
            <w:tcBorders>
              <w:top w:val="nil"/>
              <w:left w:val="nil"/>
              <w:bottom w:val="single" w:sz="4" w:space="0" w:color="auto"/>
              <w:right w:val="single" w:sz="4" w:space="0" w:color="auto"/>
            </w:tcBorders>
            <w:shd w:val="clear" w:color="auto" w:fill="auto"/>
            <w:vAlign w:val="center"/>
            <w:hideMark/>
          </w:tcPr>
          <w:p w14:paraId="7A4FE0B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68.54 </w:t>
            </w:r>
          </w:p>
        </w:tc>
      </w:tr>
      <w:tr w:rsidR="002B18F9" w:rsidRPr="00B92499" w14:paraId="1CF58D3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A9126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4133D7AE"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CV de jefe de departamento para arriba.</w:t>
            </w:r>
          </w:p>
        </w:tc>
        <w:tc>
          <w:tcPr>
            <w:tcW w:w="770" w:type="dxa"/>
            <w:tcBorders>
              <w:top w:val="nil"/>
              <w:left w:val="nil"/>
              <w:bottom w:val="single" w:sz="4" w:space="0" w:color="auto"/>
              <w:right w:val="single" w:sz="4" w:space="0" w:color="auto"/>
            </w:tcBorders>
            <w:shd w:val="clear" w:color="auto" w:fill="auto"/>
            <w:vAlign w:val="center"/>
            <w:hideMark/>
          </w:tcPr>
          <w:p w14:paraId="7CE5F50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68.49 </w:t>
            </w:r>
          </w:p>
        </w:tc>
      </w:tr>
      <w:tr w:rsidR="002B18F9" w:rsidRPr="00B92499" w14:paraId="5C9A92E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3867D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75F4F859" w14:textId="2A7475E9"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Lista con el importe</w:t>
            </w:r>
            <w:r w:rsidR="009F734B" w:rsidRPr="00B92499">
              <w:rPr>
                <w:rFonts w:ascii="Arial" w:hAnsi="Arial" w:cs="Arial"/>
                <w:color w:val="000000"/>
                <w:sz w:val="20"/>
                <w:szCs w:val="20"/>
              </w:rPr>
              <w:t xml:space="preserve"> por </w:t>
            </w:r>
            <w:r w:rsidRPr="00B92499">
              <w:rPr>
                <w:rFonts w:ascii="Arial" w:hAnsi="Arial" w:cs="Arial"/>
                <w:color w:val="000000"/>
                <w:sz w:val="20"/>
                <w:szCs w:val="20"/>
              </w:rPr>
              <w:t>concepto de viáticos.</w:t>
            </w:r>
          </w:p>
        </w:tc>
        <w:tc>
          <w:tcPr>
            <w:tcW w:w="770" w:type="dxa"/>
            <w:tcBorders>
              <w:top w:val="nil"/>
              <w:left w:val="nil"/>
              <w:bottom w:val="single" w:sz="4" w:space="0" w:color="auto"/>
              <w:right w:val="single" w:sz="4" w:space="0" w:color="auto"/>
            </w:tcBorders>
            <w:shd w:val="clear" w:color="auto" w:fill="auto"/>
            <w:vAlign w:val="center"/>
            <w:hideMark/>
          </w:tcPr>
          <w:p w14:paraId="51E86C9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67.59 </w:t>
            </w:r>
          </w:p>
        </w:tc>
      </w:tr>
      <w:tr w:rsidR="002B18F9" w:rsidRPr="00B92499" w14:paraId="7912F1A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019A2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2583B0E6"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Resultados de procedimiento de adjudicación directa, invitación restringida y licitación. </w:t>
            </w:r>
          </w:p>
        </w:tc>
        <w:tc>
          <w:tcPr>
            <w:tcW w:w="770" w:type="dxa"/>
            <w:tcBorders>
              <w:top w:val="nil"/>
              <w:left w:val="nil"/>
              <w:bottom w:val="single" w:sz="4" w:space="0" w:color="auto"/>
              <w:right w:val="single" w:sz="4" w:space="0" w:color="auto"/>
            </w:tcBorders>
            <w:shd w:val="clear" w:color="auto" w:fill="auto"/>
            <w:vAlign w:val="center"/>
            <w:hideMark/>
          </w:tcPr>
          <w:p w14:paraId="48261C2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67.56 </w:t>
            </w:r>
          </w:p>
        </w:tc>
      </w:tr>
      <w:tr w:rsidR="002B18F9" w:rsidRPr="00B92499" w14:paraId="49EAC70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CE28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5D1AB5CC"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Marco Normativo.</w:t>
            </w:r>
          </w:p>
        </w:tc>
        <w:tc>
          <w:tcPr>
            <w:tcW w:w="770" w:type="dxa"/>
            <w:tcBorders>
              <w:top w:val="nil"/>
              <w:left w:val="nil"/>
              <w:bottom w:val="single" w:sz="4" w:space="0" w:color="auto"/>
              <w:right w:val="single" w:sz="4" w:space="0" w:color="auto"/>
            </w:tcBorders>
            <w:shd w:val="clear" w:color="auto" w:fill="auto"/>
            <w:vAlign w:val="center"/>
            <w:hideMark/>
          </w:tcPr>
          <w:p w14:paraId="64BD36C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67.50 </w:t>
            </w:r>
          </w:p>
        </w:tc>
      </w:tr>
      <w:tr w:rsidR="002B18F9" w:rsidRPr="00B92499" w14:paraId="59FF42B6"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E16E5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3952FEE9"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Metas y objetivos de la Dirección. </w:t>
            </w:r>
          </w:p>
        </w:tc>
        <w:tc>
          <w:tcPr>
            <w:tcW w:w="770" w:type="dxa"/>
            <w:tcBorders>
              <w:top w:val="nil"/>
              <w:left w:val="nil"/>
              <w:bottom w:val="single" w:sz="4" w:space="0" w:color="auto"/>
              <w:right w:val="single" w:sz="4" w:space="0" w:color="auto"/>
            </w:tcBorders>
            <w:shd w:val="clear" w:color="auto" w:fill="auto"/>
            <w:vAlign w:val="center"/>
            <w:hideMark/>
          </w:tcPr>
          <w:p w14:paraId="4009FB6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66.82 </w:t>
            </w:r>
          </w:p>
        </w:tc>
      </w:tr>
      <w:tr w:rsidR="002B18F9" w:rsidRPr="00B92499" w14:paraId="4A58319B"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AF303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4BD95744"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Número tal de plazas y tipos.</w:t>
            </w:r>
          </w:p>
        </w:tc>
        <w:tc>
          <w:tcPr>
            <w:tcW w:w="770" w:type="dxa"/>
            <w:tcBorders>
              <w:top w:val="nil"/>
              <w:left w:val="nil"/>
              <w:bottom w:val="single" w:sz="4" w:space="0" w:color="auto"/>
              <w:right w:val="single" w:sz="4" w:space="0" w:color="auto"/>
            </w:tcBorders>
            <w:shd w:val="clear" w:color="auto" w:fill="auto"/>
            <w:vAlign w:val="center"/>
            <w:hideMark/>
          </w:tcPr>
          <w:p w14:paraId="6BF5A8C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66.09 </w:t>
            </w:r>
          </w:p>
        </w:tc>
      </w:tr>
      <w:tr w:rsidR="002B18F9" w:rsidRPr="00B92499" w14:paraId="314BD7D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73EF6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5EB367E7"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Padrón de proveedores y contratistas. </w:t>
            </w:r>
          </w:p>
        </w:tc>
        <w:tc>
          <w:tcPr>
            <w:tcW w:w="770" w:type="dxa"/>
            <w:tcBorders>
              <w:top w:val="nil"/>
              <w:left w:val="nil"/>
              <w:bottom w:val="single" w:sz="4" w:space="0" w:color="auto"/>
              <w:right w:val="single" w:sz="4" w:space="0" w:color="auto"/>
            </w:tcBorders>
            <w:shd w:val="clear" w:color="auto" w:fill="auto"/>
            <w:vAlign w:val="center"/>
            <w:hideMark/>
          </w:tcPr>
          <w:p w14:paraId="23A5F8F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65.65 </w:t>
            </w:r>
          </w:p>
        </w:tc>
      </w:tr>
      <w:tr w:rsidR="002B18F9" w:rsidRPr="00B92499" w14:paraId="488EB6FD"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A540D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6FB4F568"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Información relativa a la cuenta y deuda públicas.</w:t>
            </w:r>
          </w:p>
        </w:tc>
        <w:tc>
          <w:tcPr>
            <w:tcW w:w="770" w:type="dxa"/>
            <w:tcBorders>
              <w:top w:val="nil"/>
              <w:left w:val="nil"/>
              <w:bottom w:val="single" w:sz="4" w:space="0" w:color="auto"/>
              <w:right w:val="single" w:sz="4" w:space="0" w:color="auto"/>
            </w:tcBorders>
            <w:shd w:val="clear" w:color="auto" w:fill="auto"/>
            <w:vAlign w:val="center"/>
            <w:hideMark/>
          </w:tcPr>
          <w:p w14:paraId="0C37824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65.65 </w:t>
            </w:r>
          </w:p>
        </w:tc>
      </w:tr>
      <w:tr w:rsidR="002B18F9" w:rsidRPr="00B92499" w14:paraId="135C817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0EDAC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22EC0074"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Indicadores de gestión.</w:t>
            </w:r>
          </w:p>
        </w:tc>
        <w:tc>
          <w:tcPr>
            <w:tcW w:w="770" w:type="dxa"/>
            <w:tcBorders>
              <w:top w:val="nil"/>
              <w:left w:val="nil"/>
              <w:bottom w:val="single" w:sz="4" w:space="0" w:color="auto"/>
              <w:right w:val="single" w:sz="4" w:space="0" w:color="auto"/>
            </w:tcBorders>
            <w:shd w:val="clear" w:color="auto" w:fill="auto"/>
            <w:vAlign w:val="center"/>
            <w:hideMark/>
          </w:tcPr>
          <w:p w14:paraId="52DA14C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65.32 </w:t>
            </w:r>
          </w:p>
        </w:tc>
      </w:tr>
      <w:tr w:rsidR="002B18F9" w:rsidRPr="00B92499" w14:paraId="6C21204E"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E09F2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6A45A574"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Inventario de bienes muebles.</w:t>
            </w:r>
          </w:p>
        </w:tc>
        <w:tc>
          <w:tcPr>
            <w:tcW w:w="770" w:type="dxa"/>
            <w:tcBorders>
              <w:top w:val="nil"/>
              <w:left w:val="nil"/>
              <w:bottom w:val="single" w:sz="4" w:space="0" w:color="auto"/>
              <w:right w:val="single" w:sz="4" w:space="0" w:color="auto"/>
            </w:tcBorders>
            <w:shd w:val="clear" w:color="auto" w:fill="auto"/>
            <w:vAlign w:val="center"/>
            <w:hideMark/>
          </w:tcPr>
          <w:p w14:paraId="0CE945A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63.67 </w:t>
            </w:r>
          </w:p>
        </w:tc>
      </w:tr>
      <w:tr w:rsidR="002B18F9" w:rsidRPr="00B92499" w14:paraId="43D5BD60"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E142F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55D3475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770" w:type="dxa"/>
            <w:tcBorders>
              <w:top w:val="nil"/>
              <w:left w:val="nil"/>
              <w:bottom w:val="single" w:sz="4" w:space="0" w:color="auto"/>
              <w:right w:val="single" w:sz="4" w:space="0" w:color="auto"/>
            </w:tcBorders>
            <w:shd w:val="clear" w:color="auto" w:fill="auto"/>
            <w:vAlign w:val="center"/>
            <w:hideMark/>
          </w:tcPr>
          <w:p w14:paraId="25658CC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62.50 </w:t>
            </w:r>
          </w:p>
        </w:tc>
      </w:tr>
      <w:tr w:rsidR="002B18F9" w:rsidRPr="00B92499" w14:paraId="085D7BD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CEEFF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12D93D70" w14:textId="33094573"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Informes que debe de 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p>
        </w:tc>
        <w:tc>
          <w:tcPr>
            <w:tcW w:w="770" w:type="dxa"/>
            <w:tcBorders>
              <w:top w:val="nil"/>
              <w:left w:val="nil"/>
              <w:bottom w:val="single" w:sz="4" w:space="0" w:color="auto"/>
              <w:right w:val="single" w:sz="4" w:space="0" w:color="auto"/>
            </w:tcBorders>
            <w:shd w:val="clear" w:color="auto" w:fill="auto"/>
            <w:vAlign w:val="center"/>
            <w:hideMark/>
          </w:tcPr>
          <w:p w14:paraId="3316AFA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62.40 </w:t>
            </w:r>
          </w:p>
        </w:tc>
      </w:tr>
      <w:tr w:rsidR="002B18F9" w:rsidRPr="00B92499" w14:paraId="4F164BDD"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64258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6E0121CE"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Información curricular y perfil de puestos.</w:t>
            </w:r>
          </w:p>
        </w:tc>
        <w:tc>
          <w:tcPr>
            <w:tcW w:w="770" w:type="dxa"/>
            <w:tcBorders>
              <w:top w:val="nil"/>
              <w:left w:val="nil"/>
              <w:bottom w:val="single" w:sz="4" w:space="0" w:color="auto"/>
              <w:right w:val="single" w:sz="4" w:space="0" w:color="auto"/>
            </w:tcBorders>
            <w:shd w:val="clear" w:color="auto" w:fill="auto"/>
            <w:vAlign w:val="center"/>
            <w:hideMark/>
          </w:tcPr>
          <w:p w14:paraId="3C7AD3A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62.29 </w:t>
            </w:r>
          </w:p>
        </w:tc>
      </w:tr>
      <w:tr w:rsidR="002B18F9" w:rsidRPr="00B92499" w14:paraId="0760941D"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693ED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519CAAFA"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Indicadores de temas de interés público.</w:t>
            </w:r>
          </w:p>
        </w:tc>
        <w:tc>
          <w:tcPr>
            <w:tcW w:w="770" w:type="dxa"/>
            <w:tcBorders>
              <w:top w:val="nil"/>
              <w:left w:val="nil"/>
              <w:bottom w:val="single" w:sz="4" w:space="0" w:color="auto"/>
              <w:right w:val="single" w:sz="4" w:space="0" w:color="auto"/>
            </w:tcBorders>
            <w:shd w:val="clear" w:color="auto" w:fill="auto"/>
            <w:vAlign w:val="center"/>
            <w:hideMark/>
          </w:tcPr>
          <w:p w14:paraId="02580FB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60.89 </w:t>
            </w:r>
          </w:p>
        </w:tc>
      </w:tr>
      <w:tr w:rsidR="002B18F9" w:rsidRPr="00B92499" w14:paraId="778BB15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1ED6D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7D247FFC" w14:textId="527C40A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7C4ED69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60.76 </w:t>
            </w:r>
          </w:p>
        </w:tc>
      </w:tr>
      <w:tr w:rsidR="002B18F9" w:rsidRPr="00B92499" w14:paraId="7D2A683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1EC63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48A64E8B"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Remuneraciones mensual bruta y neta.</w:t>
            </w:r>
          </w:p>
        </w:tc>
        <w:tc>
          <w:tcPr>
            <w:tcW w:w="770" w:type="dxa"/>
            <w:tcBorders>
              <w:top w:val="nil"/>
              <w:left w:val="nil"/>
              <w:bottom w:val="single" w:sz="4" w:space="0" w:color="auto"/>
              <w:right w:val="single" w:sz="4" w:space="0" w:color="auto"/>
            </w:tcBorders>
            <w:shd w:val="clear" w:color="auto" w:fill="auto"/>
            <w:vAlign w:val="center"/>
            <w:hideMark/>
          </w:tcPr>
          <w:p w14:paraId="2F20174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60.52 </w:t>
            </w:r>
          </w:p>
        </w:tc>
      </w:tr>
      <w:tr w:rsidR="002B18F9" w:rsidRPr="00B92499" w14:paraId="334013BC"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EC18B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227DC4BB" w14:textId="34935171"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Informes de resultados de </w:t>
            </w:r>
            <w:r w:rsidR="00C7683E" w:rsidRPr="00B92499">
              <w:rPr>
                <w:rFonts w:ascii="Arial" w:hAnsi="Arial" w:cs="Arial"/>
                <w:color w:val="000000"/>
                <w:sz w:val="20"/>
                <w:szCs w:val="20"/>
              </w:rPr>
              <w:t>auditorías</w:t>
            </w:r>
            <w:r w:rsidRPr="00B92499">
              <w:rPr>
                <w:rFonts w:ascii="Arial" w:hAnsi="Arial" w:cs="Arial"/>
                <w:color w:val="000000"/>
                <w:sz w:val="20"/>
                <w:szCs w:val="20"/>
              </w:rPr>
              <w:t>.</w:t>
            </w:r>
          </w:p>
        </w:tc>
        <w:tc>
          <w:tcPr>
            <w:tcW w:w="770" w:type="dxa"/>
            <w:tcBorders>
              <w:top w:val="nil"/>
              <w:left w:val="nil"/>
              <w:bottom w:val="single" w:sz="4" w:space="0" w:color="auto"/>
              <w:right w:val="single" w:sz="4" w:space="0" w:color="auto"/>
            </w:tcBorders>
            <w:shd w:val="clear" w:color="auto" w:fill="auto"/>
            <w:vAlign w:val="center"/>
            <w:hideMark/>
          </w:tcPr>
          <w:p w14:paraId="4DF10B0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59.95 </w:t>
            </w:r>
          </w:p>
        </w:tc>
      </w:tr>
      <w:tr w:rsidR="002B18F9" w:rsidRPr="00B92499" w14:paraId="2FE8174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41DC2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lastRenderedPageBreak/>
              <w:t>XXXVII</w:t>
            </w:r>
          </w:p>
        </w:tc>
        <w:tc>
          <w:tcPr>
            <w:tcW w:w="0" w:type="auto"/>
            <w:tcBorders>
              <w:top w:val="nil"/>
              <w:left w:val="nil"/>
              <w:bottom w:val="single" w:sz="4" w:space="0" w:color="auto"/>
              <w:right w:val="single" w:sz="4" w:space="0" w:color="auto"/>
            </w:tcBorders>
            <w:shd w:val="clear" w:color="auto" w:fill="auto"/>
            <w:vAlign w:val="center"/>
            <w:hideMark/>
          </w:tcPr>
          <w:p w14:paraId="45A6A6BE" w14:textId="59D3802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al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la CDHCDMX.</w:t>
            </w:r>
          </w:p>
        </w:tc>
        <w:tc>
          <w:tcPr>
            <w:tcW w:w="770" w:type="dxa"/>
            <w:tcBorders>
              <w:top w:val="nil"/>
              <w:left w:val="nil"/>
              <w:bottom w:val="single" w:sz="4" w:space="0" w:color="auto"/>
              <w:right w:val="single" w:sz="4" w:space="0" w:color="auto"/>
            </w:tcBorders>
            <w:shd w:val="clear" w:color="auto" w:fill="auto"/>
            <w:vAlign w:val="center"/>
            <w:hideMark/>
          </w:tcPr>
          <w:p w14:paraId="2557AF2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59.75 </w:t>
            </w:r>
          </w:p>
        </w:tc>
      </w:tr>
      <w:tr w:rsidR="002B18F9" w:rsidRPr="00B92499" w14:paraId="4122F8AE"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D1048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6EA6DEA4"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770" w:type="dxa"/>
            <w:tcBorders>
              <w:top w:val="nil"/>
              <w:left w:val="nil"/>
              <w:bottom w:val="single" w:sz="4" w:space="0" w:color="auto"/>
              <w:right w:val="single" w:sz="4" w:space="0" w:color="auto"/>
            </w:tcBorders>
            <w:shd w:val="clear" w:color="auto" w:fill="auto"/>
            <w:vAlign w:val="center"/>
            <w:hideMark/>
          </w:tcPr>
          <w:p w14:paraId="12B83DA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59.51 </w:t>
            </w:r>
          </w:p>
        </w:tc>
      </w:tr>
      <w:tr w:rsidR="002B18F9" w:rsidRPr="00B92499" w14:paraId="45B1A189"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AAF51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3A8950F1"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Dictámenes de cuenta pública y estado financieros.</w:t>
            </w:r>
          </w:p>
        </w:tc>
        <w:tc>
          <w:tcPr>
            <w:tcW w:w="770" w:type="dxa"/>
            <w:tcBorders>
              <w:top w:val="nil"/>
              <w:left w:val="nil"/>
              <w:bottom w:val="single" w:sz="4" w:space="0" w:color="auto"/>
              <w:right w:val="single" w:sz="4" w:space="0" w:color="auto"/>
            </w:tcBorders>
            <w:shd w:val="clear" w:color="auto" w:fill="auto"/>
            <w:vAlign w:val="center"/>
            <w:hideMark/>
          </w:tcPr>
          <w:p w14:paraId="40F3027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59.18 </w:t>
            </w:r>
          </w:p>
        </w:tc>
      </w:tr>
      <w:tr w:rsidR="002B18F9" w:rsidRPr="00B92499" w14:paraId="3761FCC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8EE19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6671D32B"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770" w:type="dxa"/>
            <w:tcBorders>
              <w:top w:val="nil"/>
              <w:left w:val="nil"/>
              <w:bottom w:val="single" w:sz="4" w:space="0" w:color="auto"/>
              <w:right w:val="single" w:sz="4" w:space="0" w:color="auto"/>
            </w:tcBorders>
            <w:shd w:val="clear" w:color="auto" w:fill="auto"/>
            <w:vAlign w:val="center"/>
            <w:hideMark/>
          </w:tcPr>
          <w:p w14:paraId="37BF0CF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58.92 </w:t>
            </w:r>
          </w:p>
        </w:tc>
      </w:tr>
      <w:tr w:rsidR="002B18F9" w:rsidRPr="00B92499" w14:paraId="12CD992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2A76D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091D0FB0"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Programas Operativos Anuales y de trabajo.</w:t>
            </w:r>
          </w:p>
        </w:tc>
        <w:tc>
          <w:tcPr>
            <w:tcW w:w="770" w:type="dxa"/>
            <w:tcBorders>
              <w:top w:val="nil"/>
              <w:left w:val="nil"/>
              <w:bottom w:val="single" w:sz="4" w:space="0" w:color="auto"/>
              <w:right w:val="single" w:sz="4" w:space="0" w:color="auto"/>
            </w:tcBorders>
            <w:shd w:val="clear" w:color="auto" w:fill="auto"/>
            <w:vAlign w:val="center"/>
            <w:hideMark/>
          </w:tcPr>
          <w:p w14:paraId="3AEF8BA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58.92 </w:t>
            </w:r>
          </w:p>
        </w:tc>
      </w:tr>
      <w:tr w:rsidR="002B18F9" w:rsidRPr="00B92499" w14:paraId="65D9485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784C7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461999D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Indicadores que permitan rendir cuentas.</w:t>
            </w:r>
          </w:p>
        </w:tc>
        <w:tc>
          <w:tcPr>
            <w:tcW w:w="770" w:type="dxa"/>
            <w:tcBorders>
              <w:top w:val="nil"/>
              <w:left w:val="nil"/>
              <w:bottom w:val="single" w:sz="4" w:space="0" w:color="auto"/>
              <w:right w:val="single" w:sz="4" w:space="0" w:color="auto"/>
            </w:tcBorders>
            <w:shd w:val="clear" w:color="auto" w:fill="auto"/>
            <w:vAlign w:val="center"/>
            <w:hideMark/>
          </w:tcPr>
          <w:p w14:paraId="5F30953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58.39 </w:t>
            </w:r>
          </w:p>
        </w:tc>
      </w:tr>
      <w:tr w:rsidR="002B18F9" w:rsidRPr="00B92499" w14:paraId="3BD65587"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B8A73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55F2D31F"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La información financiera sobre el presupuesto asignado.</w:t>
            </w:r>
          </w:p>
        </w:tc>
        <w:tc>
          <w:tcPr>
            <w:tcW w:w="770" w:type="dxa"/>
            <w:tcBorders>
              <w:top w:val="nil"/>
              <w:left w:val="nil"/>
              <w:bottom w:val="single" w:sz="4" w:space="0" w:color="auto"/>
              <w:right w:val="single" w:sz="4" w:space="0" w:color="auto"/>
            </w:tcBorders>
            <w:shd w:val="clear" w:color="auto" w:fill="auto"/>
            <w:vAlign w:val="center"/>
            <w:hideMark/>
          </w:tcPr>
          <w:p w14:paraId="5F9A41A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58.09 </w:t>
            </w:r>
          </w:p>
        </w:tc>
      </w:tr>
      <w:tr w:rsidR="002B18F9" w:rsidRPr="00B92499" w14:paraId="25B880B9"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9BE10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7F1594B9"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Declaraciones 3de3.</w:t>
            </w:r>
          </w:p>
        </w:tc>
        <w:tc>
          <w:tcPr>
            <w:tcW w:w="770" w:type="dxa"/>
            <w:tcBorders>
              <w:top w:val="nil"/>
              <w:left w:val="nil"/>
              <w:bottom w:val="single" w:sz="4" w:space="0" w:color="auto"/>
              <w:right w:val="single" w:sz="4" w:space="0" w:color="auto"/>
            </w:tcBorders>
            <w:shd w:val="clear" w:color="auto" w:fill="auto"/>
            <w:vAlign w:val="center"/>
            <w:hideMark/>
          </w:tcPr>
          <w:p w14:paraId="79F777B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57.71 </w:t>
            </w:r>
          </w:p>
        </w:tc>
      </w:tr>
      <w:tr w:rsidR="002B18F9" w:rsidRPr="00B92499" w14:paraId="798375E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2EF99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4F293100"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770" w:type="dxa"/>
            <w:tcBorders>
              <w:top w:val="nil"/>
              <w:left w:val="nil"/>
              <w:bottom w:val="single" w:sz="4" w:space="0" w:color="auto"/>
              <w:right w:val="single" w:sz="4" w:space="0" w:color="auto"/>
            </w:tcBorders>
            <w:shd w:val="clear" w:color="auto" w:fill="auto"/>
            <w:vAlign w:val="center"/>
            <w:hideMark/>
          </w:tcPr>
          <w:p w14:paraId="7A49BA7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56.77 </w:t>
            </w:r>
          </w:p>
        </w:tc>
      </w:tr>
      <w:tr w:rsidR="002B18F9" w:rsidRPr="00B92499" w14:paraId="2E22316D"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4EA60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XXXV</w:t>
            </w:r>
          </w:p>
        </w:tc>
        <w:tc>
          <w:tcPr>
            <w:tcW w:w="0" w:type="auto"/>
            <w:tcBorders>
              <w:top w:val="nil"/>
              <w:left w:val="nil"/>
              <w:bottom w:val="single" w:sz="4" w:space="0" w:color="auto"/>
              <w:right w:val="single" w:sz="4" w:space="0" w:color="auto"/>
            </w:tcBorders>
            <w:shd w:val="clear" w:color="auto" w:fill="auto"/>
            <w:vAlign w:val="center"/>
            <w:hideMark/>
          </w:tcPr>
          <w:p w14:paraId="3B448B00"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Convenios de coordinación de concertación con los sectores sociales y privado.</w:t>
            </w:r>
          </w:p>
        </w:tc>
        <w:tc>
          <w:tcPr>
            <w:tcW w:w="770" w:type="dxa"/>
            <w:tcBorders>
              <w:top w:val="nil"/>
              <w:left w:val="nil"/>
              <w:bottom w:val="single" w:sz="4" w:space="0" w:color="auto"/>
              <w:right w:val="single" w:sz="4" w:space="0" w:color="auto"/>
            </w:tcBorders>
            <w:shd w:val="clear" w:color="auto" w:fill="auto"/>
            <w:vAlign w:val="center"/>
            <w:hideMark/>
          </w:tcPr>
          <w:p w14:paraId="4F954FC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56.51 </w:t>
            </w:r>
          </w:p>
        </w:tc>
      </w:tr>
      <w:tr w:rsidR="002B18F9" w:rsidRPr="00B92499" w14:paraId="78AC583C"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CEFBE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4FA30744"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Servicios profesionales y honorarios.</w:t>
            </w:r>
          </w:p>
        </w:tc>
        <w:tc>
          <w:tcPr>
            <w:tcW w:w="770" w:type="dxa"/>
            <w:tcBorders>
              <w:top w:val="nil"/>
              <w:left w:val="nil"/>
              <w:bottom w:val="single" w:sz="4" w:space="0" w:color="auto"/>
              <w:right w:val="single" w:sz="4" w:space="0" w:color="auto"/>
            </w:tcBorders>
            <w:shd w:val="clear" w:color="auto" w:fill="auto"/>
            <w:vAlign w:val="center"/>
            <w:hideMark/>
          </w:tcPr>
          <w:p w14:paraId="3C5A8BA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55.54 </w:t>
            </w:r>
          </w:p>
        </w:tc>
      </w:tr>
      <w:tr w:rsidR="002B18F9" w:rsidRPr="00B92499" w14:paraId="4C1064EE"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C1FC7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5AFE64A0"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Condiciones generales de trabajo, contratos y convenios que regulen la relación laboral, recursos otorgados a sindicatos.</w:t>
            </w:r>
          </w:p>
        </w:tc>
        <w:tc>
          <w:tcPr>
            <w:tcW w:w="770" w:type="dxa"/>
            <w:tcBorders>
              <w:top w:val="nil"/>
              <w:left w:val="nil"/>
              <w:bottom w:val="single" w:sz="4" w:space="0" w:color="auto"/>
              <w:right w:val="single" w:sz="4" w:space="0" w:color="auto"/>
            </w:tcBorders>
            <w:shd w:val="clear" w:color="auto" w:fill="auto"/>
            <w:vAlign w:val="center"/>
            <w:hideMark/>
          </w:tcPr>
          <w:p w14:paraId="6C67255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54.34 </w:t>
            </w:r>
          </w:p>
        </w:tc>
      </w:tr>
      <w:tr w:rsidR="002B18F9" w:rsidRPr="00B92499" w14:paraId="78688326"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FCCEB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1C92E433"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El catálogo de disposición y guía de archivo documental. </w:t>
            </w:r>
          </w:p>
        </w:tc>
        <w:tc>
          <w:tcPr>
            <w:tcW w:w="770" w:type="dxa"/>
            <w:tcBorders>
              <w:top w:val="nil"/>
              <w:left w:val="nil"/>
              <w:bottom w:val="single" w:sz="4" w:space="0" w:color="auto"/>
              <w:right w:val="single" w:sz="4" w:space="0" w:color="auto"/>
            </w:tcBorders>
            <w:shd w:val="clear" w:color="auto" w:fill="auto"/>
            <w:vAlign w:val="center"/>
            <w:hideMark/>
          </w:tcPr>
          <w:p w14:paraId="4A49485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53.44 </w:t>
            </w:r>
          </w:p>
        </w:tc>
      </w:tr>
      <w:tr w:rsidR="002B18F9" w:rsidRPr="00B92499" w14:paraId="5E5DA27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7C315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237D4C58"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Trámites que ofrecen y requisitos.</w:t>
            </w:r>
          </w:p>
        </w:tc>
        <w:tc>
          <w:tcPr>
            <w:tcW w:w="770" w:type="dxa"/>
            <w:tcBorders>
              <w:top w:val="nil"/>
              <w:left w:val="nil"/>
              <w:bottom w:val="single" w:sz="4" w:space="0" w:color="auto"/>
              <w:right w:val="single" w:sz="4" w:space="0" w:color="auto"/>
            </w:tcBorders>
            <w:shd w:val="clear" w:color="auto" w:fill="auto"/>
            <w:vAlign w:val="center"/>
            <w:hideMark/>
          </w:tcPr>
          <w:p w14:paraId="18E683D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53.44 </w:t>
            </w:r>
          </w:p>
        </w:tc>
      </w:tr>
      <w:tr w:rsidR="002B18F9" w:rsidRPr="00B92499" w14:paraId="7165150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2E2EE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0BCB44CB"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Estadísticas que generen.</w:t>
            </w:r>
          </w:p>
        </w:tc>
        <w:tc>
          <w:tcPr>
            <w:tcW w:w="770" w:type="dxa"/>
            <w:tcBorders>
              <w:top w:val="nil"/>
              <w:left w:val="nil"/>
              <w:bottom w:val="single" w:sz="4" w:space="0" w:color="auto"/>
              <w:right w:val="single" w:sz="4" w:space="0" w:color="auto"/>
            </w:tcBorders>
            <w:shd w:val="clear" w:color="auto" w:fill="auto"/>
            <w:vAlign w:val="center"/>
            <w:hideMark/>
          </w:tcPr>
          <w:p w14:paraId="101ADB8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53.23 </w:t>
            </w:r>
          </w:p>
        </w:tc>
      </w:tr>
      <w:tr w:rsidR="002B18F9" w:rsidRPr="00B92499" w14:paraId="67645F6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E4637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4DC9AA38"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Cualquier otra información que sea de utilidad o se considere relevante. </w:t>
            </w:r>
          </w:p>
        </w:tc>
        <w:tc>
          <w:tcPr>
            <w:tcW w:w="770" w:type="dxa"/>
            <w:tcBorders>
              <w:top w:val="nil"/>
              <w:left w:val="nil"/>
              <w:bottom w:val="single" w:sz="4" w:space="0" w:color="auto"/>
              <w:right w:val="single" w:sz="4" w:space="0" w:color="auto"/>
            </w:tcBorders>
            <w:shd w:val="clear" w:color="auto" w:fill="auto"/>
            <w:vAlign w:val="center"/>
            <w:hideMark/>
          </w:tcPr>
          <w:p w14:paraId="4C94113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50.16 </w:t>
            </w:r>
          </w:p>
        </w:tc>
      </w:tr>
      <w:tr w:rsidR="002B18F9" w:rsidRPr="00B92499" w14:paraId="3421F848"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AC49F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3C9E128C"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Informe de avances programáticos o presupuestales. </w:t>
            </w:r>
          </w:p>
        </w:tc>
        <w:tc>
          <w:tcPr>
            <w:tcW w:w="770" w:type="dxa"/>
            <w:tcBorders>
              <w:top w:val="nil"/>
              <w:left w:val="nil"/>
              <w:bottom w:val="single" w:sz="4" w:space="0" w:color="auto"/>
              <w:right w:val="single" w:sz="4" w:space="0" w:color="auto"/>
            </w:tcBorders>
            <w:shd w:val="clear" w:color="auto" w:fill="auto"/>
            <w:vAlign w:val="center"/>
            <w:hideMark/>
          </w:tcPr>
          <w:p w14:paraId="173A56D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49.79 </w:t>
            </w:r>
          </w:p>
        </w:tc>
      </w:tr>
      <w:tr w:rsidR="002B18F9" w:rsidRPr="00B92499" w14:paraId="5AA9A3B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3E9FE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XLVII</w:t>
            </w:r>
          </w:p>
        </w:tc>
        <w:tc>
          <w:tcPr>
            <w:tcW w:w="0" w:type="auto"/>
            <w:tcBorders>
              <w:top w:val="nil"/>
              <w:left w:val="nil"/>
              <w:bottom w:val="single" w:sz="4" w:space="0" w:color="auto"/>
              <w:right w:val="single" w:sz="4" w:space="0" w:color="auto"/>
            </w:tcBorders>
            <w:shd w:val="clear" w:color="auto" w:fill="auto"/>
            <w:vAlign w:val="center"/>
            <w:hideMark/>
          </w:tcPr>
          <w:p w14:paraId="7B8907CD"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Los ingresos recibidos por cualquier concepto.</w:t>
            </w:r>
          </w:p>
        </w:tc>
        <w:tc>
          <w:tcPr>
            <w:tcW w:w="770" w:type="dxa"/>
            <w:tcBorders>
              <w:top w:val="nil"/>
              <w:left w:val="nil"/>
              <w:bottom w:val="single" w:sz="4" w:space="0" w:color="auto"/>
              <w:right w:val="single" w:sz="4" w:space="0" w:color="auto"/>
            </w:tcBorders>
            <w:shd w:val="clear" w:color="auto" w:fill="auto"/>
            <w:vAlign w:val="center"/>
            <w:hideMark/>
          </w:tcPr>
          <w:p w14:paraId="52FD4E1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47.45 </w:t>
            </w:r>
          </w:p>
        </w:tc>
      </w:tr>
      <w:tr w:rsidR="002B18F9" w:rsidRPr="00B92499" w14:paraId="78E4AAE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F9A74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XXXIX</w:t>
            </w:r>
          </w:p>
        </w:tc>
        <w:tc>
          <w:tcPr>
            <w:tcW w:w="0" w:type="auto"/>
            <w:tcBorders>
              <w:top w:val="nil"/>
              <w:left w:val="nil"/>
              <w:bottom w:val="single" w:sz="4" w:space="0" w:color="auto"/>
              <w:right w:val="single" w:sz="4" w:space="0" w:color="auto"/>
            </w:tcBorders>
            <w:shd w:val="clear" w:color="auto" w:fill="auto"/>
            <w:vAlign w:val="center"/>
            <w:hideMark/>
          </w:tcPr>
          <w:p w14:paraId="5C9215F2"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Resoluciones y laudos que se emitan en procesos seguidos en forma de juicio.</w:t>
            </w:r>
          </w:p>
        </w:tc>
        <w:tc>
          <w:tcPr>
            <w:tcW w:w="770" w:type="dxa"/>
            <w:tcBorders>
              <w:top w:val="nil"/>
              <w:left w:val="nil"/>
              <w:bottom w:val="single" w:sz="4" w:space="0" w:color="auto"/>
              <w:right w:val="single" w:sz="4" w:space="0" w:color="auto"/>
            </w:tcBorders>
            <w:shd w:val="clear" w:color="auto" w:fill="auto"/>
            <w:vAlign w:val="center"/>
            <w:hideMark/>
          </w:tcPr>
          <w:p w14:paraId="6B60BAA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46.69 </w:t>
            </w:r>
          </w:p>
        </w:tc>
      </w:tr>
      <w:tr w:rsidR="002B18F9" w:rsidRPr="00B92499" w14:paraId="5DCD83CA"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7D0F7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L</w:t>
            </w:r>
          </w:p>
        </w:tc>
        <w:tc>
          <w:tcPr>
            <w:tcW w:w="0" w:type="auto"/>
            <w:tcBorders>
              <w:top w:val="nil"/>
              <w:left w:val="nil"/>
              <w:bottom w:val="single" w:sz="4" w:space="0" w:color="auto"/>
              <w:right w:val="single" w:sz="4" w:space="0" w:color="auto"/>
            </w:tcBorders>
            <w:shd w:val="clear" w:color="auto" w:fill="auto"/>
            <w:vAlign w:val="center"/>
            <w:hideMark/>
          </w:tcPr>
          <w:p w14:paraId="13C8622B" w14:textId="77777777" w:rsidR="002B18F9" w:rsidRPr="00B92499" w:rsidRDefault="002B18F9" w:rsidP="002B18F9">
            <w:pPr>
              <w:rPr>
                <w:rFonts w:ascii="Arial" w:hAnsi="Arial" w:cs="Arial"/>
                <w:color w:val="000000"/>
                <w:sz w:val="20"/>
                <w:szCs w:val="20"/>
              </w:rPr>
            </w:pPr>
            <w:r w:rsidRPr="00B92499">
              <w:rPr>
                <w:rFonts w:ascii="Arial" w:hAnsi="Arial" w:cs="Arial"/>
                <w:color w:val="000000"/>
                <w:sz w:val="20"/>
                <w:szCs w:val="20"/>
              </w:rPr>
              <w:t xml:space="preserve">La calendarización, minutas y actas de las reuniones públicas de los consejos, colegiados, gabinetes, sesiones plenarias, comités, comisiones y sesiones de trabajo. </w:t>
            </w:r>
          </w:p>
        </w:tc>
        <w:tc>
          <w:tcPr>
            <w:tcW w:w="770" w:type="dxa"/>
            <w:tcBorders>
              <w:top w:val="nil"/>
              <w:left w:val="nil"/>
              <w:bottom w:val="single" w:sz="4" w:space="0" w:color="auto"/>
              <w:right w:val="single" w:sz="4" w:space="0" w:color="auto"/>
            </w:tcBorders>
            <w:shd w:val="clear" w:color="auto" w:fill="auto"/>
            <w:vAlign w:val="center"/>
            <w:hideMark/>
          </w:tcPr>
          <w:p w14:paraId="096AB5C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46.22 </w:t>
            </w:r>
          </w:p>
        </w:tc>
      </w:tr>
    </w:tbl>
    <w:p w14:paraId="3045C210" w14:textId="77777777" w:rsidR="002B18F9" w:rsidRPr="00B92499" w:rsidRDefault="002B18F9" w:rsidP="002B18F9">
      <w:pPr>
        <w:spacing w:line="360" w:lineRule="auto"/>
        <w:jc w:val="both"/>
        <w:rPr>
          <w:rFonts w:ascii="Arial" w:hAnsi="Arial" w:cs="Arial"/>
        </w:rPr>
      </w:pPr>
    </w:p>
    <w:p w14:paraId="7F32A5F1" w14:textId="12A83D89" w:rsidR="002B18F9" w:rsidRPr="00B92499" w:rsidRDefault="002B18F9" w:rsidP="009F64B5">
      <w:pPr>
        <w:pStyle w:val="Ttulo3"/>
        <w:numPr>
          <w:ilvl w:val="2"/>
          <w:numId w:val="8"/>
        </w:numPr>
        <w:contextualSpacing/>
        <w:rPr>
          <w:rFonts w:ascii="Arial" w:hAnsi="Arial" w:cs="Arial"/>
          <w:b/>
          <w:color w:val="auto"/>
        </w:rPr>
      </w:pPr>
      <w:bookmarkStart w:id="24" w:name="_Toc23252980"/>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123 y sus respectivas fracciones</w:t>
      </w:r>
      <w:bookmarkEnd w:id="24"/>
    </w:p>
    <w:p w14:paraId="55150F5A" w14:textId="77777777" w:rsidR="002B18F9" w:rsidRPr="00B92499" w:rsidRDefault="002B18F9" w:rsidP="002B18F9">
      <w:pPr>
        <w:rPr>
          <w:rFonts w:ascii="Arial" w:hAnsi="Arial" w:cs="Arial"/>
        </w:rPr>
      </w:pPr>
    </w:p>
    <w:p w14:paraId="23FAD2D4" w14:textId="596E6D48"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Órganos Desconcentrados alcanzaron un ICP en este </w:t>
      </w:r>
      <w:r w:rsidR="008F67E4" w:rsidRPr="00B92499">
        <w:rPr>
          <w:rFonts w:ascii="Arial" w:hAnsi="Arial" w:cs="Arial"/>
        </w:rPr>
        <w:t>artículo</w:t>
      </w:r>
      <w:r w:rsidRPr="00B92499">
        <w:rPr>
          <w:rFonts w:ascii="Arial" w:hAnsi="Arial" w:cs="Arial"/>
        </w:rPr>
        <w:t xml:space="preserve"> de 68.31%, por lo que se encuentra dentro del área de cumplimiento parcial. En atención a lo anterior, un </w:t>
      </w:r>
      <w:r w:rsidR="008710F6" w:rsidRPr="00B92499">
        <w:rPr>
          <w:rFonts w:ascii="Arial" w:hAnsi="Arial" w:cs="Arial"/>
        </w:rPr>
        <w:t>sujeto obligado</w:t>
      </w:r>
      <w:r w:rsidRPr="00B92499">
        <w:rPr>
          <w:rFonts w:ascii="Arial" w:hAnsi="Arial" w:cs="Arial"/>
        </w:rPr>
        <w:t xml:space="preserve"> cumplió totalmente,</w:t>
      </w:r>
      <w:r w:rsidR="000D67A7" w:rsidRPr="00B92499">
        <w:rPr>
          <w:rFonts w:ascii="Arial" w:hAnsi="Arial" w:cs="Arial"/>
        </w:rPr>
        <w:t xml:space="preserve"> 4 </w:t>
      </w:r>
      <w:r w:rsidRPr="00B92499">
        <w:rPr>
          <w:rFonts w:ascii="Arial" w:hAnsi="Arial" w:cs="Arial"/>
        </w:rPr>
        <w:t xml:space="preserve">cumplieron parcialmente con un ICP entre 72.61% y 83.14%, </w:t>
      </w:r>
      <w:r w:rsidR="000D67A7" w:rsidRPr="00B92499">
        <w:rPr>
          <w:rFonts w:ascii="Arial" w:hAnsi="Arial" w:cs="Arial"/>
        </w:rPr>
        <w:t>2</w:t>
      </w:r>
      <w:r w:rsidRPr="00B92499">
        <w:rPr>
          <w:rFonts w:ascii="Arial" w:hAnsi="Arial" w:cs="Arial"/>
        </w:rPr>
        <w:t xml:space="preserve"> </w:t>
      </w:r>
      <w:r w:rsidR="008710F6" w:rsidRPr="00B92499">
        <w:rPr>
          <w:rFonts w:ascii="Arial" w:hAnsi="Arial" w:cs="Arial"/>
        </w:rPr>
        <w:t>sujeto</w:t>
      </w:r>
      <w:r w:rsidRPr="00B92499">
        <w:rPr>
          <w:rFonts w:ascii="Arial" w:hAnsi="Arial" w:cs="Arial"/>
        </w:rPr>
        <w:t xml:space="preserve">s incumplieron parcialmente ubicándose entre </w:t>
      </w:r>
      <w:r w:rsidRPr="00B92499">
        <w:rPr>
          <w:rFonts w:ascii="Arial" w:hAnsi="Arial" w:cs="Arial"/>
        </w:rPr>
        <w:lastRenderedPageBreak/>
        <w:t>el 17.50% y 47.53% y al Fondo Público de Atención al Ciclista y al Peatón no le es aplicable este artículo.</w:t>
      </w:r>
    </w:p>
    <w:p w14:paraId="6876CE67"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30D938E2" w14:textId="6FCD773E"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De igual forma, respecto de las 26 fracciones que integran este artículo,</w:t>
      </w:r>
      <w:r w:rsidR="000D67A7" w:rsidRPr="00B92499">
        <w:rPr>
          <w:rFonts w:ascii="Arial" w:hAnsi="Arial" w:cs="Arial"/>
        </w:rPr>
        <w:t xml:space="preserve"> 3 </w:t>
      </w:r>
      <w:r w:rsidRPr="00B92499">
        <w:rPr>
          <w:rFonts w:ascii="Arial" w:hAnsi="Arial" w:cs="Arial"/>
        </w:rPr>
        <w:t>se encuentran entre 46.43% y 57.14%; 22 se encuen</w:t>
      </w:r>
      <w:r w:rsidR="000D67A7" w:rsidRPr="00B92499">
        <w:rPr>
          <w:rFonts w:ascii="Arial" w:hAnsi="Arial" w:cs="Arial"/>
        </w:rPr>
        <w:t>tran entre 60.48% y 92.86% y 1</w:t>
      </w:r>
      <w:r w:rsidRPr="00B92499">
        <w:rPr>
          <w:rFonts w:ascii="Arial" w:hAnsi="Arial" w:cs="Arial"/>
        </w:rPr>
        <w:t xml:space="preserve"> con cumplimiento total. En esta línea, las</w:t>
      </w:r>
      <w:r w:rsidR="000D67A7" w:rsidRPr="00B92499">
        <w:rPr>
          <w:rFonts w:ascii="Arial" w:hAnsi="Arial" w:cs="Arial"/>
        </w:rPr>
        <w:t xml:space="preserve"> 3 </w:t>
      </w:r>
      <w:r w:rsidRPr="00B92499">
        <w:rPr>
          <w:rFonts w:ascii="Arial" w:hAnsi="Arial" w:cs="Arial"/>
        </w:rPr>
        <w:t xml:space="preserve">fracciones que tienen una mayor área de oportunidad son las siguientes: </w:t>
      </w:r>
    </w:p>
    <w:p w14:paraId="18680C6C" w14:textId="77777777" w:rsidR="002B18F9" w:rsidRPr="00B92499" w:rsidRDefault="002B18F9" w:rsidP="002B18F9">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XIII, con un ICP de 46.43% la cual consiste en la publicación los convenios de coordinación con la Federación, Entidades Federativas y Municipios y de concertación con los sectores social y privado. El área de oportunidad de este ámbito respecto de esta fracción es publicar y actualizar la información correspondiente, así como conservar la información de los ejercicios anteriores o en el caso de no generar la misma, fundar y motivar la no generación a través de una nota.</w:t>
      </w:r>
    </w:p>
    <w:p w14:paraId="6AB1484C" w14:textId="77777777" w:rsidR="002B18F9" w:rsidRPr="00B92499" w:rsidRDefault="002B18F9" w:rsidP="002B18F9">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XVII, con un ICP de 57.14% la cual consiste en la publicación de los recursos remanentes de los ejercicios fiscales anteriores, así como su aplicación específica. El área de oportunidad de este ámbito respecto de esta fracción es publicar y actualizar la información correspondiente, así como conservar la información de los ejercicios anteriores.</w:t>
      </w:r>
    </w:p>
    <w:p w14:paraId="2E2F8D3D" w14:textId="50DC250A" w:rsidR="002B18F9" w:rsidRPr="00B92499" w:rsidRDefault="002B18F9" w:rsidP="002B18F9">
      <w:pPr>
        <w:pStyle w:val="Prrafodelista"/>
        <w:numPr>
          <w:ilvl w:val="0"/>
          <w:numId w:val="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XIV, con un ICP de 57.14% en la cual se mandata la publicación de la información que se</w:t>
      </w:r>
      <w:r w:rsidR="009F734B" w:rsidRPr="00B92499">
        <w:rPr>
          <w:rFonts w:ascii="Arial" w:hAnsi="Arial" w:cs="Arial"/>
          <w:sz w:val="24"/>
          <w:szCs w:val="24"/>
          <w:lang w:val="es-ES_tradnl"/>
        </w:rPr>
        <w:t>a</w:t>
      </w:r>
      <w:r w:rsidRPr="00B92499">
        <w:rPr>
          <w:rFonts w:ascii="Arial" w:hAnsi="Arial" w:cs="Arial"/>
          <w:sz w:val="24"/>
          <w:szCs w:val="24"/>
          <w:lang w:val="es-ES_tradnl"/>
        </w:rPr>
        <w:t xml:space="preserve"> de utilidad o resulte relevante para el conocimiento y evaluación de las funciones y políticas públicas. El área de oportunidad de este ámbito respecto de esta fracción es publicar y actualizar la información correspondiente, así como conservar la información de los ejercicios anteriores o en el caso de no generar la misma, fundar y motivar la no generación a través de una nota.</w:t>
      </w:r>
    </w:p>
    <w:p w14:paraId="714A19C6" w14:textId="77777777"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De igual forma, la única fracción con un ICP de 100% es la que se detalla a continuación:</w:t>
      </w:r>
    </w:p>
    <w:p w14:paraId="42CBBF1C" w14:textId="77777777" w:rsidR="002B18F9" w:rsidRPr="00B92499" w:rsidRDefault="002B18F9" w:rsidP="002B18F9">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XIX, consistente en la publicación de la georreferenciación e imagen de todas las obras públicas. </w:t>
      </w:r>
    </w:p>
    <w:p w14:paraId="1D6F6A85" w14:textId="01E3CF3A" w:rsidR="002B18F9" w:rsidRPr="00B92499" w:rsidRDefault="002B18F9" w:rsidP="002B18F9">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123</w:t>
      </w:r>
      <w:r w:rsidR="009F734B" w:rsidRPr="00B92499">
        <w:rPr>
          <w:rFonts w:ascii="Arial" w:hAnsi="Arial" w:cs="Arial"/>
        </w:rPr>
        <w:t>,</w:t>
      </w:r>
      <w:r w:rsidRPr="00B92499">
        <w:rPr>
          <w:rFonts w:ascii="Arial" w:hAnsi="Arial" w:cs="Arial"/>
        </w:rPr>
        <w:t xml:space="preserve"> es presentada la siguiente tabla ordenada de forma descendente.</w:t>
      </w:r>
    </w:p>
    <w:tbl>
      <w:tblPr>
        <w:tblW w:w="8929" w:type="dxa"/>
        <w:tblCellMar>
          <w:left w:w="70" w:type="dxa"/>
          <w:right w:w="70" w:type="dxa"/>
        </w:tblCellMar>
        <w:tblLook w:val="04A0" w:firstRow="1" w:lastRow="0" w:firstColumn="1" w:lastColumn="0" w:noHBand="0" w:noVBand="1"/>
      </w:tblPr>
      <w:tblGrid>
        <w:gridCol w:w="974"/>
        <w:gridCol w:w="7256"/>
        <w:gridCol w:w="699"/>
      </w:tblGrid>
      <w:tr w:rsidR="002B18F9" w:rsidRPr="00B92499" w14:paraId="41041BCA" w14:textId="77777777" w:rsidTr="002B18F9">
        <w:trPr>
          <w:trHeight w:val="20"/>
          <w:tblHeader/>
        </w:trPr>
        <w:tc>
          <w:tcPr>
            <w:tcW w:w="8929"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6561F85" w14:textId="0881F575"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 xml:space="preserve">Artículo 123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2B18F9" w:rsidRPr="00B92499" w14:paraId="4D994645" w14:textId="77777777" w:rsidTr="002B18F9">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55AAF27E"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1A25AB03"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755" w:type="dxa"/>
            <w:tcBorders>
              <w:top w:val="nil"/>
              <w:left w:val="nil"/>
              <w:bottom w:val="single" w:sz="4" w:space="0" w:color="auto"/>
              <w:right w:val="single" w:sz="4" w:space="0" w:color="auto"/>
            </w:tcBorders>
            <w:shd w:val="clear" w:color="auto" w:fill="00B0F0"/>
            <w:vAlign w:val="center"/>
            <w:hideMark/>
          </w:tcPr>
          <w:p w14:paraId="321E4066" w14:textId="77777777" w:rsidR="002B18F9" w:rsidRPr="00B92499" w:rsidRDefault="002B18F9" w:rsidP="002B18F9">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2B18F9" w:rsidRPr="00B92499" w14:paraId="1476CFB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29AE4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360F4171"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 georreferenciación e imagen de todas las obras públicas.</w:t>
            </w:r>
          </w:p>
        </w:tc>
        <w:tc>
          <w:tcPr>
            <w:tcW w:w="755" w:type="dxa"/>
            <w:tcBorders>
              <w:top w:val="nil"/>
              <w:left w:val="nil"/>
              <w:bottom w:val="single" w:sz="4" w:space="0" w:color="auto"/>
              <w:right w:val="single" w:sz="4" w:space="0" w:color="auto"/>
            </w:tcBorders>
            <w:shd w:val="clear" w:color="auto" w:fill="auto"/>
            <w:vAlign w:val="center"/>
            <w:hideMark/>
          </w:tcPr>
          <w:p w14:paraId="024E649F" w14:textId="4C4A84F2" w:rsidR="002B18F9" w:rsidRPr="00B92499" w:rsidRDefault="002B18F9" w:rsidP="00FE4968">
            <w:pPr>
              <w:jc w:val="center"/>
              <w:rPr>
                <w:rFonts w:ascii="Arial" w:hAnsi="Arial" w:cs="Arial"/>
                <w:color w:val="000000"/>
                <w:sz w:val="20"/>
                <w:szCs w:val="20"/>
              </w:rPr>
            </w:pPr>
            <w:r w:rsidRPr="00B92499">
              <w:rPr>
                <w:rFonts w:ascii="Arial" w:hAnsi="Arial" w:cs="Arial"/>
                <w:color w:val="000000"/>
                <w:sz w:val="20"/>
                <w:szCs w:val="20"/>
              </w:rPr>
              <w:t xml:space="preserve">            100 </w:t>
            </w:r>
          </w:p>
        </w:tc>
      </w:tr>
      <w:tr w:rsidR="002B18F9" w:rsidRPr="00B92499" w14:paraId="2762441C"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AD8C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142A1C9D"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Relación de constancias, certificados, permisos, licencias, autorizaciones, certificaciones de uso de suelo, registro de manifestaciones y dictámenes de las obras que se llevan a cabo en cada una de las demarcaciones territoriales.</w:t>
            </w:r>
          </w:p>
        </w:tc>
        <w:tc>
          <w:tcPr>
            <w:tcW w:w="755" w:type="dxa"/>
            <w:tcBorders>
              <w:top w:val="nil"/>
              <w:left w:val="nil"/>
              <w:bottom w:val="single" w:sz="4" w:space="0" w:color="auto"/>
              <w:right w:val="single" w:sz="4" w:space="0" w:color="auto"/>
            </w:tcBorders>
            <w:shd w:val="clear" w:color="auto" w:fill="auto"/>
            <w:vAlign w:val="center"/>
            <w:hideMark/>
          </w:tcPr>
          <w:p w14:paraId="2E9864D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92.86 </w:t>
            </w:r>
          </w:p>
        </w:tc>
      </w:tr>
      <w:tr w:rsidR="002B18F9" w:rsidRPr="00B92499" w14:paraId="2301101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DBA72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28A7AFB3"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Las iniciativas de leyes o decretos y demás disposiciones generales o particulares en materia administrativa.</w:t>
            </w:r>
          </w:p>
        </w:tc>
        <w:tc>
          <w:tcPr>
            <w:tcW w:w="755" w:type="dxa"/>
            <w:tcBorders>
              <w:top w:val="nil"/>
              <w:left w:val="nil"/>
              <w:bottom w:val="single" w:sz="4" w:space="0" w:color="auto"/>
              <w:right w:val="single" w:sz="4" w:space="0" w:color="auto"/>
            </w:tcBorders>
            <w:shd w:val="clear" w:color="auto" w:fill="auto"/>
            <w:vAlign w:val="center"/>
            <w:hideMark/>
          </w:tcPr>
          <w:p w14:paraId="440C32A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92.80 </w:t>
            </w:r>
          </w:p>
        </w:tc>
      </w:tr>
      <w:tr w:rsidR="002B18F9" w:rsidRPr="00B92499" w14:paraId="5C301DFE"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D2CB6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03D2C741"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El presupuesto de egresos y las fórmulas de distribución de los recursos otorgados.</w:t>
            </w:r>
          </w:p>
        </w:tc>
        <w:tc>
          <w:tcPr>
            <w:tcW w:w="755" w:type="dxa"/>
            <w:tcBorders>
              <w:top w:val="nil"/>
              <w:left w:val="nil"/>
              <w:bottom w:val="single" w:sz="4" w:space="0" w:color="auto"/>
              <w:right w:val="single" w:sz="4" w:space="0" w:color="auto"/>
            </w:tcBorders>
            <w:shd w:val="clear" w:color="auto" w:fill="auto"/>
            <w:vAlign w:val="center"/>
            <w:hideMark/>
          </w:tcPr>
          <w:p w14:paraId="4832B3F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82.50 </w:t>
            </w:r>
          </w:p>
        </w:tc>
      </w:tr>
      <w:tr w:rsidR="002B18F9" w:rsidRPr="00B92499" w14:paraId="19F2C068"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FB89BE"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18E00A27"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Un listado de las oficinas del Registro Civil en la Ciudad de México, incluyendo su ubicación, el currículum y antigüedad en el cargo de los oficiales o titulares y las estadísticas de los trámites que realice.</w:t>
            </w:r>
          </w:p>
        </w:tc>
        <w:tc>
          <w:tcPr>
            <w:tcW w:w="755" w:type="dxa"/>
            <w:tcBorders>
              <w:top w:val="nil"/>
              <w:left w:val="nil"/>
              <w:bottom w:val="single" w:sz="4" w:space="0" w:color="auto"/>
              <w:right w:val="single" w:sz="4" w:space="0" w:color="auto"/>
            </w:tcBorders>
            <w:shd w:val="clear" w:color="auto" w:fill="auto"/>
            <w:vAlign w:val="center"/>
            <w:hideMark/>
          </w:tcPr>
          <w:p w14:paraId="65F2429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71.96 </w:t>
            </w:r>
          </w:p>
        </w:tc>
      </w:tr>
      <w:tr w:rsidR="002B18F9" w:rsidRPr="00B92499" w14:paraId="331490A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CC05D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7E07C098"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 información detallada que contengan los planes de desarrollo urbano, ordenamiento territorial y ecológico, los tipos y usos de suelo, licencias de uso y construcción otorgadas por el Gobierno de la Ciudad de México.</w:t>
            </w:r>
          </w:p>
        </w:tc>
        <w:tc>
          <w:tcPr>
            <w:tcW w:w="755" w:type="dxa"/>
            <w:tcBorders>
              <w:top w:val="nil"/>
              <w:left w:val="nil"/>
              <w:bottom w:val="single" w:sz="4" w:space="0" w:color="auto"/>
              <w:right w:val="single" w:sz="4" w:space="0" w:color="auto"/>
            </w:tcBorders>
            <w:shd w:val="clear" w:color="auto" w:fill="auto"/>
            <w:vAlign w:val="center"/>
            <w:hideMark/>
          </w:tcPr>
          <w:p w14:paraId="0A7484B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71.79 </w:t>
            </w:r>
          </w:p>
        </w:tc>
      </w:tr>
      <w:tr w:rsidR="002B18F9" w:rsidRPr="00B92499" w14:paraId="6E5812B9"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FD987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39CF634D"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El listado de expropiaciones decretadas y ejecutadas.</w:t>
            </w:r>
          </w:p>
        </w:tc>
        <w:tc>
          <w:tcPr>
            <w:tcW w:w="755" w:type="dxa"/>
            <w:tcBorders>
              <w:top w:val="nil"/>
              <w:left w:val="nil"/>
              <w:bottom w:val="single" w:sz="4" w:space="0" w:color="auto"/>
              <w:right w:val="single" w:sz="4" w:space="0" w:color="auto"/>
            </w:tcBorders>
            <w:shd w:val="clear" w:color="auto" w:fill="auto"/>
            <w:vAlign w:val="center"/>
            <w:hideMark/>
          </w:tcPr>
          <w:p w14:paraId="642158C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68.57 </w:t>
            </w:r>
          </w:p>
        </w:tc>
      </w:tr>
      <w:tr w:rsidR="002B18F9" w:rsidRPr="00B92499" w14:paraId="52118CE0"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D33F23"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1A2A0C57"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Un listado de los títulos y las empresas concesionarias que participan en la gestión del agua.</w:t>
            </w:r>
          </w:p>
        </w:tc>
        <w:tc>
          <w:tcPr>
            <w:tcW w:w="755" w:type="dxa"/>
            <w:tcBorders>
              <w:top w:val="nil"/>
              <w:left w:val="nil"/>
              <w:bottom w:val="single" w:sz="4" w:space="0" w:color="auto"/>
              <w:right w:val="single" w:sz="4" w:space="0" w:color="auto"/>
            </w:tcBorders>
            <w:shd w:val="clear" w:color="auto" w:fill="auto"/>
            <w:vAlign w:val="center"/>
            <w:hideMark/>
          </w:tcPr>
          <w:p w14:paraId="5A282B4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68.04 </w:t>
            </w:r>
          </w:p>
        </w:tc>
      </w:tr>
      <w:tr w:rsidR="002B18F9" w:rsidRPr="00B92499" w14:paraId="613E1BB6"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642CC"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364D4249"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Las manifestaciones de impacto ambiental.</w:t>
            </w:r>
          </w:p>
        </w:tc>
        <w:tc>
          <w:tcPr>
            <w:tcW w:w="755" w:type="dxa"/>
            <w:tcBorders>
              <w:top w:val="nil"/>
              <w:left w:val="nil"/>
              <w:bottom w:val="single" w:sz="4" w:space="0" w:color="auto"/>
              <w:right w:val="single" w:sz="4" w:space="0" w:color="auto"/>
            </w:tcBorders>
            <w:shd w:val="clear" w:color="auto" w:fill="auto"/>
            <w:vAlign w:val="center"/>
            <w:hideMark/>
          </w:tcPr>
          <w:p w14:paraId="4CF4AA8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68.04 </w:t>
            </w:r>
          </w:p>
        </w:tc>
      </w:tr>
      <w:tr w:rsidR="002B18F9" w:rsidRPr="00B92499" w14:paraId="1CE1237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B9F0D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4658DB71"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resultados de estudios de calidad del aire.</w:t>
            </w:r>
          </w:p>
        </w:tc>
        <w:tc>
          <w:tcPr>
            <w:tcW w:w="755" w:type="dxa"/>
            <w:tcBorders>
              <w:top w:val="nil"/>
              <w:left w:val="nil"/>
              <w:bottom w:val="single" w:sz="4" w:space="0" w:color="auto"/>
              <w:right w:val="single" w:sz="4" w:space="0" w:color="auto"/>
            </w:tcBorders>
            <w:shd w:val="clear" w:color="auto" w:fill="auto"/>
            <w:vAlign w:val="center"/>
            <w:hideMark/>
          </w:tcPr>
          <w:p w14:paraId="59E7638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68.04 </w:t>
            </w:r>
          </w:p>
        </w:tc>
      </w:tr>
      <w:tr w:rsidR="002B18F9" w:rsidRPr="00B92499" w14:paraId="73F645BA"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19FFF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747CA27B"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El listado de patentes de corredores y notarios públicos otorgadas, en términos de la Ley respectiva.</w:t>
            </w:r>
          </w:p>
        </w:tc>
        <w:tc>
          <w:tcPr>
            <w:tcW w:w="755" w:type="dxa"/>
            <w:tcBorders>
              <w:top w:val="nil"/>
              <w:left w:val="nil"/>
              <w:bottom w:val="single" w:sz="4" w:space="0" w:color="auto"/>
              <w:right w:val="single" w:sz="4" w:space="0" w:color="auto"/>
            </w:tcBorders>
            <w:shd w:val="clear" w:color="auto" w:fill="auto"/>
            <w:vAlign w:val="center"/>
            <w:hideMark/>
          </w:tcPr>
          <w:p w14:paraId="6C72320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67.86 </w:t>
            </w:r>
          </w:p>
        </w:tc>
      </w:tr>
      <w:tr w:rsidR="002B18F9" w:rsidRPr="00B92499" w14:paraId="1AF8D587"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DDF54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631725EA"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Estadísticas e índices delictivos, así como los indicadores de la procuración de justicia.</w:t>
            </w:r>
          </w:p>
        </w:tc>
        <w:tc>
          <w:tcPr>
            <w:tcW w:w="755" w:type="dxa"/>
            <w:tcBorders>
              <w:top w:val="nil"/>
              <w:left w:val="nil"/>
              <w:bottom w:val="single" w:sz="4" w:space="0" w:color="auto"/>
              <w:right w:val="single" w:sz="4" w:space="0" w:color="auto"/>
            </w:tcBorders>
            <w:shd w:val="clear" w:color="auto" w:fill="auto"/>
            <w:vAlign w:val="center"/>
            <w:hideMark/>
          </w:tcPr>
          <w:p w14:paraId="0A1677A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67.86 </w:t>
            </w:r>
          </w:p>
        </w:tc>
      </w:tr>
      <w:tr w:rsidR="002B18F9" w:rsidRPr="00B92499" w14:paraId="12334F31"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2454B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27D1CA11"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En materia de investigación de los delitos, estadísticas sobre el número de averiguaciones previas o carpetas de investigación.</w:t>
            </w:r>
          </w:p>
        </w:tc>
        <w:tc>
          <w:tcPr>
            <w:tcW w:w="755" w:type="dxa"/>
            <w:tcBorders>
              <w:top w:val="nil"/>
              <w:left w:val="nil"/>
              <w:bottom w:val="single" w:sz="4" w:space="0" w:color="auto"/>
              <w:right w:val="single" w:sz="4" w:space="0" w:color="auto"/>
            </w:tcBorders>
            <w:shd w:val="clear" w:color="auto" w:fill="auto"/>
            <w:vAlign w:val="center"/>
            <w:hideMark/>
          </w:tcPr>
          <w:p w14:paraId="3641B7C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67.86 </w:t>
            </w:r>
          </w:p>
        </w:tc>
      </w:tr>
      <w:tr w:rsidR="002B18F9" w:rsidRPr="00B92499" w14:paraId="7F2E5A0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71C9B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095547AE"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reglamentos de las leyes expedidos en ejercicio de sus atribuciones.</w:t>
            </w:r>
          </w:p>
        </w:tc>
        <w:tc>
          <w:tcPr>
            <w:tcW w:w="755" w:type="dxa"/>
            <w:tcBorders>
              <w:top w:val="nil"/>
              <w:left w:val="nil"/>
              <w:bottom w:val="single" w:sz="4" w:space="0" w:color="auto"/>
              <w:right w:val="single" w:sz="4" w:space="0" w:color="auto"/>
            </w:tcBorders>
            <w:shd w:val="clear" w:color="auto" w:fill="auto"/>
            <w:vAlign w:val="center"/>
            <w:hideMark/>
          </w:tcPr>
          <w:p w14:paraId="27ABA6E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67.86 </w:t>
            </w:r>
          </w:p>
        </w:tc>
      </w:tr>
      <w:tr w:rsidR="002B18F9" w:rsidRPr="00B92499" w14:paraId="54DB0B77"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3FEF1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1FC53D6C"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El Programa General de Desarrollo de la Ciudad de México vinculado con los programas operativos anuales y los respectivos indicadores de gestión que permitan conocer las metas, así como los avances físico y financiero. Sobre los indicadores de gestión se deberá difundir, además, el método de evaluación con una justificación de los resultados obtenidos y el monto de los recursos públicos asignados para su cumplimiento.</w:t>
            </w:r>
          </w:p>
        </w:tc>
        <w:tc>
          <w:tcPr>
            <w:tcW w:w="755" w:type="dxa"/>
            <w:tcBorders>
              <w:top w:val="nil"/>
              <w:left w:val="nil"/>
              <w:bottom w:val="single" w:sz="4" w:space="0" w:color="auto"/>
              <w:right w:val="single" w:sz="4" w:space="0" w:color="auto"/>
            </w:tcBorders>
            <w:shd w:val="clear" w:color="auto" w:fill="auto"/>
            <w:vAlign w:val="center"/>
            <w:hideMark/>
          </w:tcPr>
          <w:p w14:paraId="6CD224C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66.55 </w:t>
            </w:r>
          </w:p>
        </w:tc>
      </w:tr>
      <w:tr w:rsidR="002B18F9" w:rsidRPr="00B92499" w14:paraId="493C525B"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53AE3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0F4F79F5"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usos de suelo a través de mapas y planos georreferenciados.</w:t>
            </w:r>
          </w:p>
        </w:tc>
        <w:tc>
          <w:tcPr>
            <w:tcW w:w="755" w:type="dxa"/>
            <w:tcBorders>
              <w:top w:val="nil"/>
              <w:left w:val="nil"/>
              <w:bottom w:val="single" w:sz="4" w:space="0" w:color="auto"/>
              <w:right w:val="single" w:sz="4" w:space="0" w:color="auto"/>
            </w:tcBorders>
            <w:shd w:val="clear" w:color="auto" w:fill="auto"/>
            <w:vAlign w:val="center"/>
            <w:hideMark/>
          </w:tcPr>
          <w:p w14:paraId="770656C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64.29 </w:t>
            </w:r>
          </w:p>
        </w:tc>
      </w:tr>
      <w:tr w:rsidR="002B18F9" w:rsidRPr="00B92499" w14:paraId="153CFD2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30584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1BB7993A"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Información sobre las tarifas del suministro de agua potable según los diferentes usos doméstico, no doméstico y mixto por Colonia y Delegación.</w:t>
            </w:r>
          </w:p>
        </w:tc>
        <w:tc>
          <w:tcPr>
            <w:tcW w:w="755" w:type="dxa"/>
            <w:tcBorders>
              <w:top w:val="nil"/>
              <w:left w:val="nil"/>
              <w:bottom w:val="single" w:sz="4" w:space="0" w:color="auto"/>
              <w:right w:val="single" w:sz="4" w:space="0" w:color="auto"/>
            </w:tcBorders>
            <w:shd w:val="clear" w:color="auto" w:fill="auto"/>
            <w:vAlign w:val="center"/>
            <w:hideMark/>
          </w:tcPr>
          <w:p w14:paraId="6D7DFC1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62.32 </w:t>
            </w:r>
          </w:p>
        </w:tc>
      </w:tr>
      <w:tr w:rsidR="002B18F9" w:rsidRPr="00B92499" w14:paraId="04FBAE70"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C7E81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lastRenderedPageBreak/>
              <w:t>XI</w:t>
            </w:r>
          </w:p>
        </w:tc>
        <w:tc>
          <w:tcPr>
            <w:tcW w:w="0" w:type="auto"/>
            <w:tcBorders>
              <w:top w:val="nil"/>
              <w:left w:val="nil"/>
              <w:bottom w:val="single" w:sz="4" w:space="0" w:color="auto"/>
              <w:right w:val="single" w:sz="4" w:space="0" w:color="auto"/>
            </w:tcBorders>
            <w:shd w:val="clear" w:color="auto" w:fill="auto"/>
            <w:vAlign w:val="center"/>
            <w:hideMark/>
          </w:tcPr>
          <w:p w14:paraId="131F223B"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Las cantidades recibidas por concepto de multas y servicios de grúa y almacenamiento de vehículos, en su caso, así como el destino al que se aplicaron.</w:t>
            </w:r>
          </w:p>
        </w:tc>
        <w:tc>
          <w:tcPr>
            <w:tcW w:w="755" w:type="dxa"/>
            <w:tcBorders>
              <w:top w:val="nil"/>
              <w:left w:val="nil"/>
              <w:bottom w:val="single" w:sz="4" w:space="0" w:color="auto"/>
              <w:right w:val="single" w:sz="4" w:space="0" w:color="auto"/>
            </w:tcBorders>
            <w:shd w:val="clear" w:color="auto" w:fill="auto"/>
            <w:vAlign w:val="center"/>
            <w:hideMark/>
          </w:tcPr>
          <w:p w14:paraId="2C70F88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61.79 </w:t>
            </w:r>
          </w:p>
        </w:tc>
      </w:tr>
      <w:tr w:rsidR="002B18F9" w:rsidRPr="00B92499" w14:paraId="4201763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5FAC2B"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5F5CD146"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 xml:space="preserve">El listado de las personas que han recibido exenciones, condonaciones o cancelaciones de impuestos locales. </w:t>
            </w:r>
          </w:p>
        </w:tc>
        <w:tc>
          <w:tcPr>
            <w:tcW w:w="755" w:type="dxa"/>
            <w:tcBorders>
              <w:top w:val="nil"/>
              <w:left w:val="nil"/>
              <w:bottom w:val="single" w:sz="4" w:space="0" w:color="auto"/>
              <w:right w:val="single" w:sz="4" w:space="0" w:color="auto"/>
            </w:tcBorders>
            <w:shd w:val="clear" w:color="auto" w:fill="auto"/>
            <w:vAlign w:val="center"/>
            <w:hideMark/>
          </w:tcPr>
          <w:p w14:paraId="06D55A9A"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61.43 </w:t>
            </w:r>
          </w:p>
        </w:tc>
      </w:tr>
      <w:tr w:rsidR="002B18F9" w:rsidRPr="00B92499" w14:paraId="01DEB71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205B77"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6D61D55F"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mecanismos e informes de supervisión del desempeño de las empresas concesionarias que participan en la gestión del agua.</w:t>
            </w:r>
          </w:p>
        </w:tc>
        <w:tc>
          <w:tcPr>
            <w:tcW w:w="755" w:type="dxa"/>
            <w:tcBorders>
              <w:top w:val="nil"/>
              <w:left w:val="nil"/>
              <w:bottom w:val="single" w:sz="4" w:space="0" w:color="auto"/>
              <w:right w:val="single" w:sz="4" w:space="0" w:color="auto"/>
            </w:tcBorders>
            <w:shd w:val="clear" w:color="auto" w:fill="auto"/>
            <w:vAlign w:val="center"/>
            <w:hideMark/>
          </w:tcPr>
          <w:p w14:paraId="5D4381FD"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60.89 </w:t>
            </w:r>
          </w:p>
        </w:tc>
      </w:tr>
      <w:tr w:rsidR="002B18F9" w:rsidRPr="00B92499" w14:paraId="6C6FF7B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250E2"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3785C70B"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Información trimestral sobre la calidad del agua de la ciudad.</w:t>
            </w:r>
          </w:p>
        </w:tc>
        <w:tc>
          <w:tcPr>
            <w:tcW w:w="755" w:type="dxa"/>
            <w:tcBorders>
              <w:top w:val="nil"/>
              <w:left w:val="nil"/>
              <w:bottom w:val="single" w:sz="4" w:space="0" w:color="auto"/>
              <w:right w:val="single" w:sz="4" w:space="0" w:color="auto"/>
            </w:tcBorders>
            <w:shd w:val="clear" w:color="auto" w:fill="auto"/>
            <w:vAlign w:val="center"/>
            <w:hideMark/>
          </w:tcPr>
          <w:p w14:paraId="2231D2C8"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60.89 </w:t>
            </w:r>
          </w:p>
        </w:tc>
      </w:tr>
      <w:tr w:rsidR="002B18F9" w:rsidRPr="00B92499" w14:paraId="327C033F"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7EA54F"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7B989758"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Las disposiciones administrativas, directamente o a través de la autoridad competente.</w:t>
            </w:r>
          </w:p>
        </w:tc>
        <w:tc>
          <w:tcPr>
            <w:tcW w:w="755" w:type="dxa"/>
            <w:tcBorders>
              <w:top w:val="nil"/>
              <w:left w:val="nil"/>
              <w:bottom w:val="single" w:sz="4" w:space="0" w:color="auto"/>
              <w:right w:val="single" w:sz="4" w:space="0" w:color="auto"/>
            </w:tcBorders>
            <w:shd w:val="clear" w:color="auto" w:fill="auto"/>
            <w:vAlign w:val="center"/>
            <w:hideMark/>
          </w:tcPr>
          <w:p w14:paraId="27F30E6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60.71 </w:t>
            </w:r>
          </w:p>
        </w:tc>
      </w:tr>
      <w:tr w:rsidR="002B18F9" w:rsidRPr="00B92499" w14:paraId="4FE88874"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955776"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2E491FF6"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Sistema electrónico con el uso de un tabulador que permita consultar el cobro de impuestos, servicios, derechos y aprovechamientos, así como el total de las cantidades recibidas por estos conceptos, así como informes de avance trimestral de dichos ingresos.</w:t>
            </w:r>
          </w:p>
        </w:tc>
        <w:tc>
          <w:tcPr>
            <w:tcW w:w="755" w:type="dxa"/>
            <w:tcBorders>
              <w:top w:val="nil"/>
              <w:left w:val="nil"/>
              <w:bottom w:val="single" w:sz="4" w:space="0" w:color="auto"/>
              <w:right w:val="single" w:sz="4" w:space="0" w:color="auto"/>
            </w:tcBorders>
            <w:shd w:val="clear" w:color="auto" w:fill="auto"/>
            <w:vAlign w:val="center"/>
            <w:hideMark/>
          </w:tcPr>
          <w:p w14:paraId="465BEEE4"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60.48 </w:t>
            </w:r>
          </w:p>
        </w:tc>
      </w:tr>
      <w:tr w:rsidR="002B18F9" w:rsidRPr="00B92499" w14:paraId="5CF60D32"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C7AC00"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551E3804"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La información que sea de utilidad o resulte relevante para el conocimiento y evaluación de las funciones y políticas públicas.</w:t>
            </w:r>
          </w:p>
        </w:tc>
        <w:tc>
          <w:tcPr>
            <w:tcW w:w="755" w:type="dxa"/>
            <w:tcBorders>
              <w:top w:val="nil"/>
              <w:left w:val="nil"/>
              <w:bottom w:val="single" w:sz="4" w:space="0" w:color="auto"/>
              <w:right w:val="single" w:sz="4" w:space="0" w:color="auto"/>
            </w:tcBorders>
            <w:shd w:val="clear" w:color="auto" w:fill="auto"/>
            <w:vAlign w:val="center"/>
            <w:hideMark/>
          </w:tcPr>
          <w:p w14:paraId="0357DE4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57.14 </w:t>
            </w:r>
          </w:p>
        </w:tc>
      </w:tr>
      <w:tr w:rsidR="002B18F9" w:rsidRPr="00B92499" w14:paraId="33F85CC5"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65301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52F30F5D"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recursos remanentes de los ejercicios fiscales anteriores, así como su aplicación específica.</w:t>
            </w:r>
          </w:p>
        </w:tc>
        <w:tc>
          <w:tcPr>
            <w:tcW w:w="755" w:type="dxa"/>
            <w:tcBorders>
              <w:top w:val="nil"/>
              <w:left w:val="nil"/>
              <w:bottom w:val="single" w:sz="4" w:space="0" w:color="auto"/>
              <w:right w:val="single" w:sz="4" w:space="0" w:color="auto"/>
            </w:tcBorders>
            <w:shd w:val="clear" w:color="auto" w:fill="auto"/>
            <w:vAlign w:val="center"/>
            <w:hideMark/>
          </w:tcPr>
          <w:p w14:paraId="51A14C49"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57.14 </w:t>
            </w:r>
          </w:p>
        </w:tc>
      </w:tr>
      <w:tr w:rsidR="002B18F9" w:rsidRPr="00B92499" w14:paraId="48633493" w14:textId="77777777" w:rsidTr="002B18F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0BB9A5"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0EDDE51B" w14:textId="77777777" w:rsidR="002B18F9" w:rsidRPr="00B92499" w:rsidRDefault="002B18F9" w:rsidP="002B18F9">
            <w:pPr>
              <w:jc w:val="both"/>
              <w:rPr>
                <w:rFonts w:ascii="Arial" w:hAnsi="Arial" w:cs="Arial"/>
                <w:color w:val="000000"/>
                <w:sz w:val="20"/>
                <w:szCs w:val="20"/>
              </w:rPr>
            </w:pPr>
            <w:r w:rsidRPr="00B92499">
              <w:rPr>
                <w:rFonts w:ascii="Arial" w:hAnsi="Arial" w:cs="Arial"/>
                <w:color w:val="000000"/>
                <w:sz w:val="20"/>
                <w:szCs w:val="20"/>
              </w:rPr>
              <w:t>Los convenios de coordinación con la Federación, Entidades Federativas y Municipios, y de concertación con los sectores social y privado.</w:t>
            </w:r>
          </w:p>
        </w:tc>
        <w:tc>
          <w:tcPr>
            <w:tcW w:w="755" w:type="dxa"/>
            <w:tcBorders>
              <w:top w:val="nil"/>
              <w:left w:val="nil"/>
              <w:bottom w:val="single" w:sz="4" w:space="0" w:color="auto"/>
              <w:right w:val="single" w:sz="4" w:space="0" w:color="auto"/>
            </w:tcBorders>
            <w:shd w:val="clear" w:color="auto" w:fill="auto"/>
            <w:vAlign w:val="center"/>
            <w:hideMark/>
          </w:tcPr>
          <w:p w14:paraId="71AB0171" w14:textId="77777777" w:rsidR="002B18F9" w:rsidRPr="00B92499" w:rsidRDefault="002B18F9" w:rsidP="002B18F9">
            <w:pPr>
              <w:jc w:val="center"/>
              <w:rPr>
                <w:rFonts w:ascii="Arial" w:hAnsi="Arial" w:cs="Arial"/>
                <w:color w:val="000000"/>
                <w:sz w:val="20"/>
                <w:szCs w:val="20"/>
              </w:rPr>
            </w:pPr>
            <w:r w:rsidRPr="00B92499">
              <w:rPr>
                <w:rFonts w:ascii="Arial" w:hAnsi="Arial" w:cs="Arial"/>
                <w:color w:val="000000"/>
                <w:sz w:val="20"/>
                <w:szCs w:val="20"/>
              </w:rPr>
              <w:t xml:space="preserve">               46.43 </w:t>
            </w:r>
          </w:p>
        </w:tc>
      </w:tr>
    </w:tbl>
    <w:p w14:paraId="20E4D43B" w14:textId="77777777" w:rsidR="002B18F9" w:rsidRPr="00B92499" w:rsidRDefault="002B18F9" w:rsidP="002B18F9">
      <w:pPr>
        <w:spacing w:before="100" w:beforeAutospacing="1" w:after="100" w:afterAutospacing="1" w:line="360" w:lineRule="auto"/>
        <w:jc w:val="both"/>
        <w:rPr>
          <w:rFonts w:ascii="Arial" w:hAnsi="Arial" w:cs="Arial"/>
        </w:rPr>
      </w:pPr>
    </w:p>
    <w:p w14:paraId="05AE9356" w14:textId="44DA61BD" w:rsidR="002B18F9" w:rsidRPr="00B92499" w:rsidRDefault="002B18F9" w:rsidP="009F64B5">
      <w:pPr>
        <w:pStyle w:val="Ttulo3"/>
        <w:numPr>
          <w:ilvl w:val="2"/>
          <w:numId w:val="8"/>
        </w:numPr>
        <w:contextualSpacing/>
        <w:rPr>
          <w:rFonts w:ascii="Arial" w:hAnsi="Arial" w:cs="Arial"/>
          <w:b/>
          <w:color w:val="auto"/>
        </w:rPr>
      </w:pPr>
      <w:bookmarkStart w:id="25" w:name="_Toc23252981"/>
      <w:r w:rsidRPr="00B92499">
        <w:rPr>
          <w:rFonts w:ascii="Arial" w:hAnsi="Arial" w:cs="Arial"/>
          <w:b/>
          <w:color w:val="auto"/>
        </w:rPr>
        <w:t xml:space="preserve">Análisis de los </w:t>
      </w:r>
      <w:r w:rsidR="008F67E4" w:rsidRPr="00B92499">
        <w:rPr>
          <w:rFonts w:ascii="Arial" w:hAnsi="Arial" w:cs="Arial"/>
          <w:b/>
          <w:color w:val="auto"/>
        </w:rPr>
        <w:t>artículo</w:t>
      </w:r>
      <w:r w:rsidRPr="00B92499">
        <w:rPr>
          <w:rFonts w:ascii="Arial" w:hAnsi="Arial" w:cs="Arial"/>
          <w:b/>
          <w:color w:val="auto"/>
        </w:rPr>
        <w:t>s 135 y 136</w:t>
      </w:r>
      <w:bookmarkEnd w:id="25"/>
    </w:p>
    <w:p w14:paraId="1556EAB0" w14:textId="77777777" w:rsidR="002B18F9" w:rsidRPr="00B92499" w:rsidRDefault="002B18F9" w:rsidP="002B18F9">
      <w:pPr>
        <w:spacing w:line="360" w:lineRule="auto"/>
        <w:contextualSpacing/>
        <w:jc w:val="both"/>
        <w:rPr>
          <w:rFonts w:ascii="Arial" w:hAnsi="Arial" w:cs="Arial"/>
        </w:rPr>
      </w:pPr>
    </w:p>
    <w:p w14:paraId="42762E5D" w14:textId="77777777" w:rsidR="002B18F9" w:rsidRPr="00B92499" w:rsidRDefault="002B18F9" w:rsidP="002B18F9">
      <w:pPr>
        <w:spacing w:line="360" w:lineRule="auto"/>
        <w:contextualSpacing/>
        <w:jc w:val="both"/>
        <w:rPr>
          <w:rFonts w:ascii="Arial" w:hAnsi="Arial" w:cs="Arial"/>
        </w:rPr>
      </w:pPr>
      <w:r w:rsidRPr="00B92499">
        <w:rPr>
          <w:rFonts w:ascii="Arial" w:hAnsi="Arial" w:cs="Arial"/>
        </w:rPr>
        <w:t xml:space="preserve">Los artículos 135 y 136 responden a obligaciones de transparencia que únicamente le son aplicables a los fondos y fideicomisos, en este caso al Fondo Público de Atención al Ciclista y al Peatón. </w:t>
      </w:r>
    </w:p>
    <w:p w14:paraId="4ADD8A1D" w14:textId="77777777" w:rsidR="002B18F9" w:rsidRPr="00B92499" w:rsidRDefault="002B18F9" w:rsidP="002B18F9">
      <w:pPr>
        <w:spacing w:line="360" w:lineRule="auto"/>
        <w:contextualSpacing/>
        <w:jc w:val="both"/>
        <w:rPr>
          <w:rFonts w:ascii="Arial" w:hAnsi="Arial" w:cs="Arial"/>
        </w:rPr>
      </w:pPr>
    </w:p>
    <w:p w14:paraId="30085CB1" w14:textId="77777777" w:rsidR="002B18F9" w:rsidRPr="00B92499" w:rsidRDefault="002B18F9" w:rsidP="002B18F9">
      <w:pPr>
        <w:spacing w:line="360" w:lineRule="auto"/>
        <w:contextualSpacing/>
        <w:jc w:val="both"/>
        <w:rPr>
          <w:rFonts w:ascii="Arial" w:hAnsi="Arial" w:cs="Arial"/>
        </w:rPr>
      </w:pPr>
      <w:r w:rsidRPr="00B92499">
        <w:rPr>
          <w:rFonts w:ascii="Arial" w:hAnsi="Arial" w:cs="Arial"/>
        </w:rPr>
        <w:t xml:space="preserve">El artículo 135 se integra de 13 fracciones y el 136 es solamente un párrafo. Ambos artículos hacen referencia a la información de creación y desarrollo de los fondos y fideicomisos. </w:t>
      </w:r>
    </w:p>
    <w:p w14:paraId="4BD8CA31" w14:textId="77777777" w:rsidR="002B18F9" w:rsidRPr="00B92499" w:rsidRDefault="002B18F9" w:rsidP="002B18F9">
      <w:pPr>
        <w:spacing w:line="360" w:lineRule="auto"/>
        <w:contextualSpacing/>
        <w:jc w:val="both"/>
        <w:rPr>
          <w:rFonts w:ascii="Arial" w:hAnsi="Arial" w:cs="Arial"/>
        </w:rPr>
      </w:pPr>
    </w:p>
    <w:p w14:paraId="56D1961D" w14:textId="77777777" w:rsidR="002B18F9" w:rsidRPr="00B92499" w:rsidRDefault="002B18F9" w:rsidP="002B18F9">
      <w:pPr>
        <w:spacing w:line="360" w:lineRule="auto"/>
        <w:contextualSpacing/>
        <w:jc w:val="both"/>
        <w:rPr>
          <w:rFonts w:ascii="Arial" w:hAnsi="Arial" w:cs="Arial"/>
        </w:rPr>
      </w:pPr>
      <w:r w:rsidRPr="00B92499">
        <w:rPr>
          <w:rFonts w:ascii="Arial" w:hAnsi="Arial" w:cs="Arial"/>
        </w:rPr>
        <w:t xml:space="preserve">El Fondo Público de Atención al Ciclista y al Peatón incumplió totalmente en la publicación y actualización de la información, tanto en la PNT, como en el Portal Institucional. </w:t>
      </w:r>
    </w:p>
    <w:p w14:paraId="4178A7FC" w14:textId="77777777" w:rsidR="002B18F9" w:rsidRPr="00B92499" w:rsidRDefault="002B18F9" w:rsidP="002B18F9">
      <w:pPr>
        <w:spacing w:line="360" w:lineRule="auto"/>
        <w:contextualSpacing/>
        <w:jc w:val="both"/>
        <w:rPr>
          <w:rFonts w:ascii="Arial" w:hAnsi="Arial" w:cs="Arial"/>
        </w:rPr>
      </w:pPr>
    </w:p>
    <w:p w14:paraId="4CD13308" w14:textId="08E45DBD" w:rsidR="002B18F9" w:rsidRPr="00B92499" w:rsidRDefault="002B18F9" w:rsidP="009F64B5">
      <w:pPr>
        <w:pStyle w:val="Ttulo3"/>
        <w:numPr>
          <w:ilvl w:val="2"/>
          <w:numId w:val="8"/>
        </w:numPr>
        <w:contextualSpacing/>
        <w:rPr>
          <w:rFonts w:ascii="Arial" w:hAnsi="Arial" w:cs="Arial"/>
          <w:b/>
          <w:color w:val="auto"/>
        </w:rPr>
      </w:pPr>
      <w:bookmarkStart w:id="26" w:name="_Toc23252982"/>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143</w:t>
      </w:r>
      <w:bookmarkEnd w:id="26"/>
      <w:r w:rsidRPr="00B92499">
        <w:rPr>
          <w:rFonts w:ascii="Arial" w:hAnsi="Arial" w:cs="Arial"/>
          <w:b/>
          <w:color w:val="auto"/>
        </w:rPr>
        <w:tab/>
      </w:r>
    </w:p>
    <w:p w14:paraId="109F947F" w14:textId="77777777" w:rsidR="002B18F9" w:rsidRPr="00B92499" w:rsidRDefault="002B18F9" w:rsidP="002B18F9">
      <w:pPr>
        <w:rPr>
          <w:lang w:eastAsia="en-US"/>
        </w:rPr>
      </w:pPr>
    </w:p>
    <w:p w14:paraId="551096C4" w14:textId="783B2871"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lastRenderedPageBreak/>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de los órganos desconcentrados obtuvieron un ICP de 78.44%, por lo que se encuentran dentro del área de cumplimiento parcial. En la misma línea,</w:t>
      </w:r>
      <w:r w:rsidR="000D67A7" w:rsidRPr="00B92499">
        <w:rPr>
          <w:rFonts w:ascii="Arial" w:hAnsi="Arial" w:cs="Arial"/>
        </w:rPr>
        <w:t xml:space="preserve"> 6</w:t>
      </w:r>
      <w:r w:rsidR="009F734B" w:rsidRPr="00B92499">
        <w:rPr>
          <w:rFonts w:ascii="Arial" w:hAnsi="Arial" w:cs="Arial"/>
        </w:rPr>
        <w:t xml:space="preserve"> </w:t>
      </w:r>
      <w:r w:rsidR="008710F6" w:rsidRPr="00B92499">
        <w:rPr>
          <w:rFonts w:ascii="Arial" w:hAnsi="Arial" w:cs="Arial"/>
        </w:rPr>
        <w:t>sujeto</w:t>
      </w:r>
      <w:r w:rsidRPr="00B92499">
        <w:rPr>
          <w:rFonts w:ascii="Arial" w:hAnsi="Arial" w:cs="Arial"/>
        </w:rPr>
        <w:t xml:space="preserve">s obligados obtuvieron un cumplimiento total, un </w:t>
      </w:r>
      <w:r w:rsidR="008710F6" w:rsidRPr="00B92499">
        <w:rPr>
          <w:rFonts w:ascii="Arial" w:hAnsi="Arial" w:cs="Arial"/>
        </w:rPr>
        <w:t>sujeto</w:t>
      </w:r>
      <w:r w:rsidR="009F734B" w:rsidRPr="00B92499">
        <w:rPr>
          <w:rFonts w:ascii="Arial" w:hAnsi="Arial" w:cs="Arial"/>
        </w:rPr>
        <w:t xml:space="preserve"> con</w:t>
      </w:r>
      <w:r w:rsidRPr="00B92499">
        <w:rPr>
          <w:rFonts w:ascii="Arial" w:hAnsi="Arial" w:cs="Arial"/>
        </w:rPr>
        <w:t xml:space="preserve"> incumplimiento parcial de 27.50% y un </w:t>
      </w:r>
      <w:r w:rsidR="008710F6" w:rsidRPr="00B92499">
        <w:rPr>
          <w:rFonts w:ascii="Arial" w:hAnsi="Arial" w:cs="Arial"/>
        </w:rPr>
        <w:t>sujeto</w:t>
      </w:r>
      <w:r w:rsidR="009F734B" w:rsidRPr="00B92499">
        <w:rPr>
          <w:rFonts w:ascii="Arial" w:hAnsi="Arial" w:cs="Arial"/>
        </w:rPr>
        <w:t xml:space="preserve"> con</w:t>
      </w:r>
      <w:r w:rsidRPr="00B92499">
        <w:rPr>
          <w:rFonts w:ascii="Arial" w:hAnsi="Arial" w:cs="Arial"/>
        </w:rPr>
        <w:t xml:space="preserve"> incumplie</w:t>
      </w:r>
      <w:r w:rsidR="009F734B" w:rsidRPr="00B92499">
        <w:rPr>
          <w:rFonts w:ascii="Arial" w:hAnsi="Arial" w:cs="Arial"/>
        </w:rPr>
        <w:t>nto</w:t>
      </w:r>
      <w:r w:rsidRPr="00B92499">
        <w:rPr>
          <w:rFonts w:ascii="Arial" w:hAnsi="Arial" w:cs="Arial"/>
        </w:rPr>
        <w:t xml:space="preserve"> total. </w:t>
      </w:r>
    </w:p>
    <w:p w14:paraId="7874B3BE"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3020785C" w14:textId="77777777" w:rsidR="002B18F9" w:rsidRPr="00B92499" w:rsidRDefault="002B18F9" w:rsidP="002B18F9">
      <w:pPr>
        <w:spacing w:line="360" w:lineRule="auto"/>
        <w:contextualSpacing/>
        <w:jc w:val="both"/>
        <w:rPr>
          <w:rFonts w:ascii="Arial" w:hAnsi="Arial" w:cs="Arial"/>
        </w:rPr>
      </w:pPr>
      <w:r w:rsidRPr="00B92499">
        <w:rPr>
          <w:rFonts w:ascii="Arial" w:hAnsi="Arial" w:cs="Arial"/>
        </w:rPr>
        <w:t xml:space="preserve">En atención a lo anterior, las áreas de oportunidad consisten en actualizar la información conforme indica la normatividad vigente, y en los casos donde no se genere información, fundar y motivar las razones. </w:t>
      </w:r>
    </w:p>
    <w:p w14:paraId="68B63078" w14:textId="77777777" w:rsidR="002B18F9" w:rsidRPr="00B92499" w:rsidRDefault="002B18F9" w:rsidP="002B18F9">
      <w:pPr>
        <w:spacing w:line="360" w:lineRule="auto"/>
        <w:contextualSpacing/>
        <w:jc w:val="both"/>
        <w:rPr>
          <w:rFonts w:ascii="Arial" w:hAnsi="Arial" w:cs="Arial"/>
        </w:rPr>
      </w:pPr>
    </w:p>
    <w:p w14:paraId="306E5DA3" w14:textId="3BECD97A" w:rsidR="002B18F9" w:rsidRPr="00B92499" w:rsidRDefault="002B18F9" w:rsidP="009F64B5">
      <w:pPr>
        <w:pStyle w:val="Ttulo3"/>
        <w:numPr>
          <w:ilvl w:val="2"/>
          <w:numId w:val="8"/>
        </w:numPr>
        <w:contextualSpacing/>
        <w:rPr>
          <w:rFonts w:ascii="Arial" w:hAnsi="Arial" w:cs="Arial"/>
          <w:b/>
          <w:color w:val="auto"/>
        </w:rPr>
      </w:pPr>
      <w:bookmarkStart w:id="27" w:name="_Toc23252983"/>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145</w:t>
      </w:r>
      <w:bookmarkEnd w:id="27"/>
    </w:p>
    <w:p w14:paraId="150AFB3A" w14:textId="77777777" w:rsidR="002B18F9" w:rsidRPr="00B92499" w:rsidRDefault="002B18F9" w:rsidP="002B18F9">
      <w:pPr>
        <w:rPr>
          <w:rFonts w:ascii="Arial" w:hAnsi="Arial" w:cs="Arial"/>
        </w:rPr>
      </w:pPr>
    </w:p>
    <w:p w14:paraId="61549EB5" w14:textId="27C65C39"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de los órganos desconcentrados obtuvieron un ICP de 98.44%, por lo que se encuentran dentro del área de cumplimiento parcial. En la misma línea,</w:t>
      </w:r>
      <w:r w:rsidR="000D67A7" w:rsidRPr="00B92499">
        <w:rPr>
          <w:rFonts w:ascii="Arial" w:hAnsi="Arial" w:cs="Arial"/>
        </w:rPr>
        <w:t xml:space="preserve"> 7 </w:t>
      </w:r>
      <w:r w:rsidRPr="00B92499">
        <w:rPr>
          <w:rFonts w:ascii="Arial" w:hAnsi="Arial" w:cs="Arial"/>
        </w:rPr>
        <w:t xml:space="preserve"> </w:t>
      </w:r>
      <w:r w:rsidR="008710F6" w:rsidRPr="00B92499">
        <w:rPr>
          <w:rFonts w:ascii="Arial" w:hAnsi="Arial" w:cs="Arial"/>
        </w:rPr>
        <w:t>sujeto</w:t>
      </w:r>
      <w:r w:rsidRPr="00B92499">
        <w:rPr>
          <w:rFonts w:ascii="Arial" w:hAnsi="Arial" w:cs="Arial"/>
        </w:rPr>
        <w:t xml:space="preserve">s obligados obtuvieron un cumplimiento total y un </w:t>
      </w:r>
      <w:r w:rsidR="008710F6" w:rsidRPr="00B92499">
        <w:rPr>
          <w:rFonts w:ascii="Arial" w:hAnsi="Arial" w:cs="Arial"/>
        </w:rPr>
        <w:t>sujeto</w:t>
      </w:r>
      <w:r w:rsidRPr="00B92499">
        <w:rPr>
          <w:rFonts w:ascii="Arial" w:hAnsi="Arial" w:cs="Arial"/>
        </w:rPr>
        <w:t xml:space="preserve"> con un cumplimiento parcial de 87.5%.</w:t>
      </w:r>
    </w:p>
    <w:p w14:paraId="06598044" w14:textId="38ED2F04"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lo anterior, la ventana de oportunidad consiste en que el </w:t>
      </w:r>
      <w:r w:rsidR="008710F6" w:rsidRPr="00B92499">
        <w:rPr>
          <w:rFonts w:ascii="Arial" w:hAnsi="Arial" w:cs="Arial"/>
        </w:rPr>
        <w:t>sujeto obligado</w:t>
      </w:r>
      <w:r w:rsidRPr="00B92499">
        <w:rPr>
          <w:rFonts w:ascii="Arial" w:hAnsi="Arial" w:cs="Arial"/>
        </w:rPr>
        <w:t xml:space="preserve"> cree un acceso fácilmente identificable que permita a la ciudadanía ingresar a la información relativa a las obligaciones de transparencia y demás normatividad aplicable en la materia. </w:t>
      </w:r>
    </w:p>
    <w:p w14:paraId="329A6381" w14:textId="085FF18B" w:rsidR="002B18F9" w:rsidRPr="00B92499" w:rsidRDefault="002B18F9" w:rsidP="009F64B5">
      <w:pPr>
        <w:pStyle w:val="Ttulo3"/>
        <w:numPr>
          <w:ilvl w:val="2"/>
          <w:numId w:val="8"/>
        </w:numPr>
        <w:contextualSpacing/>
        <w:rPr>
          <w:rFonts w:ascii="Arial" w:hAnsi="Arial" w:cs="Arial"/>
          <w:b/>
          <w:color w:val="auto"/>
        </w:rPr>
      </w:pPr>
      <w:bookmarkStart w:id="28" w:name="_Toc23252984"/>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146</w:t>
      </w:r>
      <w:bookmarkEnd w:id="28"/>
    </w:p>
    <w:p w14:paraId="67E82B8B" w14:textId="77777777" w:rsidR="002B18F9" w:rsidRPr="00B92499" w:rsidRDefault="002B18F9" w:rsidP="002B18F9">
      <w:pPr>
        <w:rPr>
          <w:rFonts w:ascii="Arial" w:hAnsi="Arial" w:cs="Arial"/>
        </w:rPr>
      </w:pPr>
    </w:p>
    <w:p w14:paraId="50DB71F9" w14:textId="03F7DBE9"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de los órganos desconcentrados obtuvieron un ICP de 68.48%, por lo que se encuentran dentro del área de cumplimiento parcial. En la misma línea,</w:t>
      </w:r>
      <w:r w:rsidR="000D67A7" w:rsidRPr="00B92499">
        <w:rPr>
          <w:rFonts w:ascii="Arial" w:hAnsi="Arial" w:cs="Arial"/>
        </w:rPr>
        <w:t xml:space="preserve"> 3 </w:t>
      </w:r>
      <w:r w:rsidR="008710F6" w:rsidRPr="00B92499">
        <w:rPr>
          <w:rFonts w:ascii="Arial" w:hAnsi="Arial" w:cs="Arial"/>
        </w:rPr>
        <w:t>sujeto</w:t>
      </w:r>
      <w:r w:rsidRPr="00B92499">
        <w:rPr>
          <w:rFonts w:ascii="Arial" w:hAnsi="Arial" w:cs="Arial"/>
        </w:rPr>
        <w:t xml:space="preserve">s obligados obtuvieron un cumplimiento total, </w:t>
      </w:r>
      <w:r w:rsidR="000D67A7" w:rsidRPr="00B92499">
        <w:rPr>
          <w:rFonts w:ascii="Arial" w:hAnsi="Arial" w:cs="Arial"/>
        </w:rPr>
        <w:t>2</w:t>
      </w:r>
      <w:r w:rsidRPr="00B92499">
        <w:rPr>
          <w:rFonts w:ascii="Arial" w:hAnsi="Arial" w:cs="Arial"/>
        </w:rPr>
        <w:t xml:space="preserve"> un cumplimiento parcial de 95.74% y </w:t>
      </w:r>
      <w:r w:rsidR="000D67A7" w:rsidRPr="00B92499">
        <w:rPr>
          <w:rFonts w:ascii="Arial" w:hAnsi="Arial" w:cs="Arial"/>
        </w:rPr>
        <w:t>2</w:t>
      </w:r>
      <w:r w:rsidRPr="00B92499">
        <w:rPr>
          <w:rFonts w:ascii="Arial" w:hAnsi="Arial" w:cs="Arial"/>
        </w:rPr>
        <w:t xml:space="preserve"> incumplimientos parciales entre 33.64% y 50% y uno un incumplimiento total. Al respecto, el área de oportunidad consiste en que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publiquen sus calendarios de actualización de sus obligaciones de transparencia y tengan precaución respecto de las fechas que señalan y atiendan a lo establecido en la Ley de Transparencia y en la Tabla de Conservación de los Lineamientos y Metodología de Evaluación. </w:t>
      </w:r>
    </w:p>
    <w:p w14:paraId="0DB04EAD" w14:textId="77777777" w:rsidR="002B18F9" w:rsidRPr="00B92499" w:rsidRDefault="002B18F9" w:rsidP="002B18F9">
      <w:pPr>
        <w:spacing w:before="100" w:beforeAutospacing="1" w:after="100" w:afterAutospacing="1" w:line="360" w:lineRule="auto"/>
        <w:contextualSpacing/>
        <w:jc w:val="both"/>
        <w:rPr>
          <w:rFonts w:ascii="Arial" w:hAnsi="Arial" w:cs="Arial"/>
        </w:rPr>
      </w:pPr>
    </w:p>
    <w:p w14:paraId="3FC707EF" w14:textId="63C21B44" w:rsidR="002B18F9" w:rsidRPr="00B92499" w:rsidRDefault="002B18F9" w:rsidP="009F64B5">
      <w:pPr>
        <w:pStyle w:val="Ttulo3"/>
        <w:numPr>
          <w:ilvl w:val="2"/>
          <w:numId w:val="8"/>
        </w:numPr>
        <w:contextualSpacing/>
        <w:rPr>
          <w:rFonts w:ascii="Arial" w:hAnsi="Arial" w:cs="Arial"/>
          <w:b/>
          <w:color w:val="auto"/>
        </w:rPr>
      </w:pPr>
      <w:bookmarkStart w:id="29" w:name="_Toc23252985"/>
      <w:r w:rsidRPr="00B92499">
        <w:rPr>
          <w:rFonts w:ascii="Arial" w:hAnsi="Arial" w:cs="Arial"/>
          <w:b/>
          <w:color w:val="auto"/>
        </w:rPr>
        <w:lastRenderedPageBreak/>
        <w:t xml:space="preserve">Análisis del </w:t>
      </w:r>
      <w:r w:rsidR="008F67E4" w:rsidRPr="00B92499">
        <w:rPr>
          <w:rFonts w:ascii="Arial" w:hAnsi="Arial" w:cs="Arial"/>
          <w:b/>
          <w:color w:val="auto"/>
        </w:rPr>
        <w:t>artículo</w:t>
      </w:r>
      <w:r w:rsidRPr="00B92499">
        <w:rPr>
          <w:rFonts w:ascii="Arial" w:hAnsi="Arial" w:cs="Arial"/>
          <w:b/>
          <w:color w:val="auto"/>
        </w:rPr>
        <w:t xml:space="preserve"> 147</w:t>
      </w:r>
      <w:bookmarkEnd w:id="29"/>
      <w:r w:rsidRPr="00B92499">
        <w:rPr>
          <w:rFonts w:ascii="Arial" w:hAnsi="Arial" w:cs="Arial"/>
          <w:b/>
          <w:color w:val="auto"/>
        </w:rPr>
        <w:t xml:space="preserve"> </w:t>
      </w:r>
    </w:p>
    <w:p w14:paraId="5188216F" w14:textId="77777777" w:rsidR="002B18F9" w:rsidRPr="00B92499" w:rsidRDefault="002B18F9" w:rsidP="002B18F9">
      <w:pPr>
        <w:rPr>
          <w:rFonts w:ascii="Arial" w:hAnsi="Arial" w:cs="Arial"/>
        </w:rPr>
      </w:pPr>
    </w:p>
    <w:p w14:paraId="6E776F58" w14:textId="0272181D" w:rsidR="002B18F9" w:rsidRPr="00B92499" w:rsidRDefault="002B18F9" w:rsidP="002B18F9">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de los órganos desconcentrados obtuvieron un ICP de 82.50%, por lo que se encuentran dentro del área de cumplimie</w:t>
      </w:r>
      <w:r w:rsidR="000D67A7" w:rsidRPr="00B92499">
        <w:rPr>
          <w:rFonts w:ascii="Arial" w:hAnsi="Arial" w:cs="Arial"/>
        </w:rPr>
        <w:t xml:space="preserve">nto parcial. En la misma línea, 5 </w:t>
      </w:r>
      <w:r w:rsidR="008710F6" w:rsidRPr="00B92499">
        <w:rPr>
          <w:rFonts w:ascii="Arial" w:hAnsi="Arial" w:cs="Arial"/>
        </w:rPr>
        <w:t>sujeto</w:t>
      </w:r>
      <w:r w:rsidRPr="00B92499">
        <w:rPr>
          <w:rFonts w:ascii="Arial" w:hAnsi="Arial" w:cs="Arial"/>
        </w:rPr>
        <w:t xml:space="preserve">s obligados obtuvieron un cumplimiento total, </w:t>
      </w:r>
      <w:r w:rsidR="000D67A7" w:rsidRPr="00B92499">
        <w:rPr>
          <w:rFonts w:ascii="Arial" w:hAnsi="Arial" w:cs="Arial"/>
        </w:rPr>
        <w:t>2</w:t>
      </w:r>
      <w:r w:rsidRPr="00B92499">
        <w:rPr>
          <w:rFonts w:ascii="Arial" w:hAnsi="Arial" w:cs="Arial"/>
        </w:rPr>
        <w:t xml:space="preserve"> un cumplimiento parcial de 77.50% y uno un incumplimiento total. Las áreas de oportunidad de este artículo consisten en que los </w:t>
      </w:r>
      <w:r w:rsidR="008710F6" w:rsidRPr="00B92499">
        <w:rPr>
          <w:rFonts w:ascii="Arial" w:hAnsi="Arial" w:cs="Arial"/>
        </w:rPr>
        <w:t>sujeto</w:t>
      </w:r>
      <w:r w:rsidRPr="00B92499">
        <w:rPr>
          <w:rFonts w:ascii="Arial" w:hAnsi="Arial" w:cs="Arial"/>
        </w:rPr>
        <w:t xml:space="preserve">s deberán actualizar la información conforme indica la normatividad vigente, así como verificar el acceso de los hipervínculos. </w:t>
      </w:r>
    </w:p>
    <w:p w14:paraId="65BA7397" w14:textId="3D30386F" w:rsidR="0054779C" w:rsidRPr="00B92499" w:rsidRDefault="0054779C" w:rsidP="002E7D47">
      <w:pPr>
        <w:rPr>
          <w:rFonts w:ascii="Arial" w:hAnsi="Arial" w:cs="Arial"/>
        </w:rPr>
      </w:pPr>
      <w:r w:rsidRPr="00B92499">
        <w:rPr>
          <w:rFonts w:ascii="Arial" w:hAnsi="Arial" w:cs="Arial"/>
        </w:rPr>
        <w:br w:type="page"/>
      </w:r>
    </w:p>
    <w:p w14:paraId="3CF15E05" w14:textId="77777777" w:rsidR="00940CBA" w:rsidRPr="00B92499" w:rsidRDefault="00D2376D" w:rsidP="009F64B5">
      <w:pPr>
        <w:pStyle w:val="Ttulo2"/>
        <w:numPr>
          <w:ilvl w:val="1"/>
          <w:numId w:val="9"/>
        </w:numPr>
        <w:contextualSpacing/>
        <w:rPr>
          <w:rFonts w:ascii="Arial" w:hAnsi="Arial" w:cs="Arial"/>
          <w:b/>
          <w:color w:val="auto"/>
          <w:sz w:val="24"/>
          <w:szCs w:val="24"/>
        </w:rPr>
      </w:pPr>
      <w:bookmarkStart w:id="30" w:name="_Toc23252986"/>
      <w:bookmarkEnd w:id="20"/>
      <w:bookmarkEnd w:id="21"/>
      <w:r w:rsidRPr="00B92499">
        <w:rPr>
          <w:rFonts w:ascii="Arial" w:hAnsi="Arial" w:cs="Arial"/>
          <w:b/>
          <w:color w:val="auto"/>
          <w:sz w:val="24"/>
          <w:szCs w:val="24"/>
        </w:rPr>
        <w:lastRenderedPageBreak/>
        <w:t>DEMARCACIONES POLÍTICAS DE LA CIUDAD DE MÉXICO</w:t>
      </w:r>
      <w:bookmarkEnd w:id="30"/>
    </w:p>
    <w:p w14:paraId="12B0AA74" w14:textId="68BD8A85"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El ámbito del Poder Ejecutivo en lo que corresponde </w:t>
      </w:r>
      <w:r w:rsidR="005D21D2" w:rsidRPr="00B92499">
        <w:rPr>
          <w:rFonts w:ascii="Arial" w:hAnsi="Arial" w:cs="Arial"/>
        </w:rPr>
        <w:t>a las</w:t>
      </w:r>
      <w:r w:rsidRPr="00B92499">
        <w:rPr>
          <w:rFonts w:ascii="Arial" w:hAnsi="Arial" w:cs="Arial"/>
        </w:rPr>
        <w:t xml:space="preserve"> 16 demarcaciones políticas, de conformidad con el Padrón de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supeditados al cumplimiento de la Ley de Transparencia, Acceso a la Información Pública y Rendición de Cuentas de la Ciudad de México</w:t>
      </w:r>
      <w:r w:rsidRPr="00B92499" w:rsidDel="005B5D1B">
        <w:rPr>
          <w:rFonts w:ascii="Arial" w:hAnsi="Arial" w:cs="Arial"/>
        </w:rPr>
        <w:t xml:space="preserve"> </w:t>
      </w:r>
      <w:r w:rsidRPr="00B92499">
        <w:rPr>
          <w:rFonts w:ascii="Arial" w:hAnsi="Arial" w:cs="Arial"/>
        </w:rPr>
        <w:t xml:space="preserve">y de la Ley de Protección de Datos Personales en Posesión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Ciudad de México </w:t>
      </w:r>
      <w:r w:rsidR="00074700" w:rsidRPr="00B92499">
        <w:rPr>
          <w:rFonts w:ascii="Arial" w:hAnsi="Arial" w:cs="Arial"/>
        </w:rPr>
        <w:t>vigente.</w:t>
      </w:r>
    </w:p>
    <w:p w14:paraId="1E87E64E" w14:textId="77777777" w:rsidR="00D2376D" w:rsidRPr="00B92499" w:rsidRDefault="00D2376D" w:rsidP="002E7D47">
      <w:pPr>
        <w:spacing w:before="100" w:beforeAutospacing="1" w:after="100" w:afterAutospacing="1" w:line="360" w:lineRule="auto"/>
        <w:contextualSpacing/>
        <w:jc w:val="both"/>
        <w:rPr>
          <w:rFonts w:ascii="Arial" w:hAnsi="Arial" w:cs="Arial"/>
        </w:rPr>
      </w:pPr>
    </w:p>
    <w:p w14:paraId="5E9B00B9" w14:textId="526A4D3C" w:rsidR="0088258D" w:rsidRPr="00B92499" w:rsidRDefault="00940CBA" w:rsidP="006C722A">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w:t>
      </w:r>
      <w:r w:rsidR="00623A69" w:rsidRPr="00B92499">
        <w:rPr>
          <w:rFonts w:ascii="Arial" w:hAnsi="Arial" w:cs="Arial"/>
        </w:rPr>
        <w:t>ICOT-PT</w:t>
      </w:r>
      <w:r w:rsidRPr="00B92499">
        <w:rPr>
          <w:rFonts w:ascii="Arial" w:hAnsi="Arial" w:cs="Arial"/>
        </w:rPr>
        <w:t xml:space="preserve">),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7B77907F" w14:textId="77777777" w:rsidR="00027F6E" w:rsidRPr="00B92499" w:rsidRDefault="00027F6E" w:rsidP="006C722A">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027F6E" w:rsidRPr="00B92499" w14:paraId="5AE0CD03" w14:textId="77777777" w:rsidTr="00535A9F">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34EF496E" w14:textId="77777777" w:rsidR="00027F6E" w:rsidRPr="00B92499" w:rsidRDefault="00027F6E" w:rsidP="0088258D">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535A9F" w:rsidRPr="00B92499" w14:paraId="579D34FB" w14:textId="77777777" w:rsidTr="00535A9F">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D25D3F0"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2F4094F3" w14:textId="64F58F13"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B9F045E"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%Inf</w:t>
            </w:r>
            <w:r w:rsidR="00027F6E" w:rsidRPr="00B92499">
              <w:rPr>
                <w:rFonts w:ascii="Arial" w:hAnsi="Arial" w:cs="Arial"/>
                <w:b/>
                <w:bCs/>
                <w:color w:val="000000"/>
                <w:sz w:val="16"/>
                <w:szCs w:val="16"/>
              </w:rPr>
              <w:t xml:space="preserve"> </w:t>
            </w:r>
            <w:r w:rsidRPr="00B92499">
              <w:rPr>
                <w:rFonts w:ascii="Arial" w:hAnsi="Arial" w:cs="Arial"/>
                <w:b/>
                <w:bCs/>
                <w:color w:val="000000"/>
                <w:sz w:val="16"/>
                <w:szCs w:val="16"/>
              </w:rPr>
              <w: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7E777F08"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 Nota</w:t>
            </w:r>
            <w:r w:rsidR="00027F6E" w:rsidRPr="00B92499">
              <w:rPr>
                <w:rFonts w:ascii="Arial" w:hAnsi="Arial" w:cs="Arial"/>
                <w:b/>
                <w:bCs/>
                <w:color w:val="000000"/>
                <w:sz w:val="16"/>
                <w:szCs w:val="16"/>
              </w:rPr>
              <w:t xml:space="preserve"> </w:t>
            </w:r>
            <w:r w:rsidRPr="00B92499">
              <w:rPr>
                <w:rFonts w:ascii="Arial" w:hAnsi="Arial" w:cs="Arial"/>
                <w:b/>
                <w:bCs/>
                <w:color w:val="000000"/>
                <w:sz w:val="16"/>
                <w:szCs w:val="16"/>
              </w:rPr>
              <w: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95163E5"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2722A1F"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00C6D09D"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63DD958"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DC7FBA7"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2C0E368C"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84F5C85" w14:textId="77777777" w:rsidR="0088258D" w:rsidRPr="00B92499" w:rsidRDefault="0088258D" w:rsidP="0088258D">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88258D" w:rsidRPr="00B92499" w14:paraId="536E9C51"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450652C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1EA29514"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Miguel Hidalgo</w:t>
            </w:r>
          </w:p>
        </w:tc>
        <w:tc>
          <w:tcPr>
            <w:tcW w:w="850" w:type="dxa"/>
            <w:tcBorders>
              <w:top w:val="nil"/>
              <w:left w:val="nil"/>
              <w:bottom w:val="single" w:sz="4" w:space="0" w:color="auto"/>
              <w:right w:val="single" w:sz="4" w:space="0" w:color="auto"/>
            </w:tcBorders>
            <w:shd w:val="clear" w:color="000000" w:fill="BDD7EE"/>
            <w:noWrap/>
            <w:vAlign w:val="center"/>
            <w:hideMark/>
          </w:tcPr>
          <w:p w14:paraId="5E3DF29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96.47</w:t>
            </w:r>
          </w:p>
        </w:tc>
        <w:tc>
          <w:tcPr>
            <w:tcW w:w="850" w:type="dxa"/>
            <w:tcBorders>
              <w:top w:val="nil"/>
              <w:left w:val="nil"/>
              <w:bottom w:val="single" w:sz="4" w:space="0" w:color="auto"/>
              <w:right w:val="single" w:sz="4" w:space="0" w:color="auto"/>
            </w:tcBorders>
            <w:shd w:val="clear" w:color="000000" w:fill="D9D9D9"/>
            <w:noWrap/>
            <w:vAlign w:val="center"/>
            <w:hideMark/>
          </w:tcPr>
          <w:p w14:paraId="09913C6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3.53</w:t>
            </w:r>
          </w:p>
        </w:tc>
        <w:tc>
          <w:tcPr>
            <w:tcW w:w="850" w:type="dxa"/>
            <w:tcBorders>
              <w:top w:val="nil"/>
              <w:left w:val="nil"/>
              <w:bottom w:val="single" w:sz="4" w:space="0" w:color="auto"/>
              <w:right w:val="single" w:sz="4" w:space="0" w:color="auto"/>
            </w:tcBorders>
            <w:shd w:val="clear" w:color="auto" w:fill="auto"/>
            <w:noWrap/>
            <w:vAlign w:val="center"/>
            <w:hideMark/>
          </w:tcPr>
          <w:p w14:paraId="23C77E02" w14:textId="6B152A6C"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3739E1D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96.47</w:t>
            </w:r>
          </w:p>
        </w:tc>
        <w:tc>
          <w:tcPr>
            <w:tcW w:w="850" w:type="dxa"/>
            <w:tcBorders>
              <w:top w:val="nil"/>
              <w:left w:val="nil"/>
              <w:bottom w:val="single" w:sz="4" w:space="0" w:color="auto"/>
              <w:right w:val="single" w:sz="4" w:space="0" w:color="auto"/>
            </w:tcBorders>
            <w:shd w:val="clear" w:color="000000" w:fill="D9D9D9"/>
            <w:noWrap/>
            <w:vAlign w:val="center"/>
            <w:hideMark/>
          </w:tcPr>
          <w:p w14:paraId="429A3AD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3.53</w:t>
            </w:r>
          </w:p>
        </w:tc>
        <w:tc>
          <w:tcPr>
            <w:tcW w:w="850" w:type="dxa"/>
            <w:tcBorders>
              <w:top w:val="nil"/>
              <w:left w:val="nil"/>
              <w:bottom w:val="single" w:sz="4" w:space="0" w:color="auto"/>
              <w:right w:val="single" w:sz="4" w:space="0" w:color="auto"/>
            </w:tcBorders>
            <w:shd w:val="clear" w:color="auto" w:fill="auto"/>
            <w:noWrap/>
            <w:vAlign w:val="center"/>
            <w:hideMark/>
          </w:tcPr>
          <w:p w14:paraId="31D0315C" w14:textId="50A86629"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1B02557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96.47</w:t>
            </w:r>
          </w:p>
        </w:tc>
        <w:tc>
          <w:tcPr>
            <w:tcW w:w="850" w:type="dxa"/>
            <w:tcBorders>
              <w:top w:val="nil"/>
              <w:left w:val="nil"/>
              <w:bottom w:val="single" w:sz="4" w:space="0" w:color="auto"/>
              <w:right w:val="single" w:sz="4" w:space="0" w:color="auto"/>
            </w:tcBorders>
            <w:shd w:val="clear" w:color="000000" w:fill="D9D9D9"/>
            <w:noWrap/>
            <w:vAlign w:val="center"/>
            <w:hideMark/>
          </w:tcPr>
          <w:p w14:paraId="43947A4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3.53</w:t>
            </w:r>
          </w:p>
        </w:tc>
        <w:tc>
          <w:tcPr>
            <w:tcW w:w="850" w:type="dxa"/>
            <w:tcBorders>
              <w:top w:val="nil"/>
              <w:left w:val="nil"/>
              <w:bottom w:val="single" w:sz="4" w:space="0" w:color="auto"/>
              <w:right w:val="single" w:sz="4" w:space="0" w:color="auto"/>
            </w:tcBorders>
            <w:shd w:val="clear" w:color="auto" w:fill="auto"/>
            <w:noWrap/>
            <w:vAlign w:val="center"/>
            <w:hideMark/>
          </w:tcPr>
          <w:p w14:paraId="322513A0" w14:textId="67640577"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r>
      <w:tr w:rsidR="0088258D" w:rsidRPr="00B92499" w14:paraId="1B50E52C" w14:textId="77777777" w:rsidTr="00027F6E">
        <w:trPr>
          <w:trHeight w:val="102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56FBC4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2</w:t>
            </w:r>
          </w:p>
        </w:tc>
        <w:tc>
          <w:tcPr>
            <w:tcW w:w="1304" w:type="dxa"/>
            <w:tcBorders>
              <w:top w:val="nil"/>
              <w:left w:val="nil"/>
              <w:bottom w:val="single" w:sz="4" w:space="0" w:color="auto"/>
              <w:right w:val="single" w:sz="4" w:space="0" w:color="auto"/>
            </w:tcBorders>
            <w:shd w:val="clear" w:color="000000" w:fill="FFFFFF"/>
            <w:vAlign w:val="center"/>
            <w:hideMark/>
          </w:tcPr>
          <w:p w14:paraId="3A978687"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La Magdalena Contreras</w:t>
            </w:r>
          </w:p>
        </w:tc>
        <w:tc>
          <w:tcPr>
            <w:tcW w:w="850" w:type="dxa"/>
            <w:tcBorders>
              <w:top w:val="nil"/>
              <w:left w:val="nil"/>
              <w:bottom w:val="single" w:sz="4" w:space="0" w:color="auto"/>
              <w:right w:val="single" w:sz="4" w:space="0" w:color="auto"/>
            </w:tcBorders>
            <w:shd w:val="clear" w:color="000000" w:fill="BDD7EE"/>
            <w:noWrap/>
            <w:vAlign w:val="center"/>
            <w:hideMark/>
          </w:tcPr>
          <w:p w14:paraId="6210B77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99.00</w:t>
            </w:r>
          </w:p>
        </w:tc>
        <w:tc>
          <w:tcPr>
            <w:tcW w:w="850" w:type="dxa"/>
            <w:tcBorders>
              <w:top w:val="nil"/>
              <w:left w:val="nil"/>
              <w:bottom w:val="single" w:sz="4" w:space="0" w:color="auto"/>
              <w:right w:val="single" w:sz="4" w:space="0" w:color="auto"/>
            </w:tcBorders>
            <w:shd w:val="clear" w:color="000000" w:fill="D9D9D9"/>
            <w:noWrap/>
            <w:vAlign w:val="center"/>
            <w:hideMark/>
          </w:tcPr>
          <w:p w14:paraId="365C3D6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auto" w:fill="auto"/>
            <w:noWrap/>
            <w:vAlign w:val="center"/>
            <w:hideMark/>
          </w:tcPr>
          <w:p w14:paraId="0BAD8AF1" w14:textId="26095FAE"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1BB7FB3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98.50</w:t>
            </w:r>
          </w:p>
        </w:tc>
        <w:tc>
          <w:tcPr>
            <w:tcW w:w="850" w:type="dxa"/>
            <w:tcBorders>
              <w:top w:val="nil"/>
              <w:left w:val="nil"/>
              <w:bottom w:val="single" w:sz="4" w:space="0" w:color="auto"/>
              <w:right w:val="single" w:sz="4" w:space="0" w:color="auto"/>
            </w:tcBorders>
            <w:shd w:val="clear" w:color="000000" w:fill="D9D9D9"/>
            <w:noWrap/>
            <w:vAlign w:val="center"/>
            <w:hideMark/>
          </w:tcPr>
          <w:p w14:paraId="7C2C771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50E29E74" w14:textId="03328684"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c>
          <w:tcPr>
            <w:tcW w:w="850" w:type="dxa"/>
            <w:tcBorders>
              <w:top w:val="nil"/>
              <w:left w:val="nil"/>
              <w:bottom w:val="single" w:sz="4" w:space="0" w:color="auto"/>
              <w:right w:val="single" w:sz="4" w:space="0" w:color="auto"/>
            </w:tcBorders>
            <w:shd w:val="clear" w:color="000000" w:fill="BDD7EE"/>
            <w:noWrap/>
            <w:vAlign w:val="center"/>
            <w:hideMark/>
          </w:tcPr>
          <w:p w14:paraId="20E598F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98.75</w:t>
            </w:r>
          </w:p>
        </w:tc>
        <w:tc>
          <w:tcPr>
            <w:tcW w:w="850" w:type="dxa"/>
            <w:tcBorders>
              <w:top w:val="nil"/>
              <w:left w:val="nil"/>
              <w:bottom w:val="single" w:sz="4" w:space="0" w:color="auto"/>
              <w:right w:val="single" w:sz="4" w:space="0" w:color="auto"/>
            </w:tcBorders>
            <w:shd w:val="clear" w:color="000000" w:fill="D9D9D9"/>
            <w:noWrap/>
            <w:vAlign w:val="center"/>
            <w:hideMark/>
          </w:tcPr>
          <w:p w14:paraId="232AFB6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1.25</w:t>
            </w:r>
          </w:p>
        </w:tc>
        <w:tc>
          <w:tcPr>
            <w:tcW w:w="850" w:type="dxa"/>
            <w:tcBorders>
              <w:top w:val="nil"/>
              <w:left w:val="nil"/>
              <w:bottom w:val="single" w:sz="4" w:space="0" w:color="auto"/>
              <w:right w:val="single" w:sz="4" w:space="0" w:color="auto"/>
            </w:tcBorders>
            <w:shd w:val="clear" w:color="auto" w:fill="auto"/>
            <w:noWrap/>
            <w:vAlign w:val="center"/>
            <w:hideMark/>
          </w:tcPr>
          <w:p w14:paraId="42FA6712" w14:textId="445F3917" w:rsidR="0088258D" w:rsidRPr="00B92499" w:rsidRDefault="0088258D" w:rsidP="00362663">
            <w:pPr>
              <w:jc w:val="center"/>
              <w:rPr>
                <w:rFonts w:ascii="Arial" w:hAnsi="Arial" w:cs="Arial"/>
                <w:color w:val="000000"/>
                <w:sz w:val="16"/>
                <w:szCs w:val="16"/>
              </w:rPr>
            </w:pPr>
            <w:r w:rsidRPr="00B92499">
              <w:rPr>
                <w:rFonts w:ascii="Arial" w:hAnsi="Arial" w:cs="Arial"/>
                <w:color w:val="000000"/>
                <w:sz w:val="16"/>
                <w:szCs w:val="16"/>
              </w:rPr>
              <w:t>100</w:t>
            </w:r>
          </w:p>
        </w:tc>
      </w:tr>
      <w:tr w:rsidR="0088258D" w:rsidRPr="00B92499" w14:paraId="333F680B" w14:textId="77777777" w:rsidTr="00027F6E">
        <w:trPr>
          <w:trHeight w:val="102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974955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w:t>
            </w:r>
          </w:p>
        </w:tc>
        <w:tc>
          <w:tcPr>
            <w:tcW w:w="1304" w:type="dxa"/>
            <w:tcBorders>
              <w:top w:val="nil"/>
              <w:left w:val="nil"/>
              <w:bottom w:val="single" w:sz="4" w:space="0" w:color="auto"/>
              <w:right w:val="single" w:sz="4" w:space="0" w:color="auto"/>
            </w:tcBorders>
            <w:shd w:val="clear" w:color="000000" w:fill="FFFFFF"/>
            <w:vAlign w:val="center"/>
            <w:hideMark/>
          </w:tcPr>
          <w:p w14:paraId="5891E19A"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Venustiano Carranza</w:t>
            </w:r>
          </w:p>
        </w:tc>
        <w:tc>
          <w:tcPr>
            <w:tcW w:w="850" w:type="dxa"/>
            <w:tcBorders>
              <w:top w:val="nil"/>
              <w:left w:val="nil"/>
              <w:bottom w:val="single" w:sz="4" w:space="0" w:color="auto"/>
              <w:right w:val="single" w:sz="4" w:space="0" w:color="auto"/>
            </w:tcBorders>
            <w:shd w:val="clear" w:color="000000" w:fill="BDD7EE"/>
            <w:noWrap/>
            <w:vAlign w:val="center"/>
            <w:hideMark/>
          </w:tcPr>
          <w:p w14:paraId="6F88B73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90.20</w:t>
            </w:r>
          </w:p>
        </w:tc>
        <w:tc>
          <w:tcPr>
            <w:tcW w:w="850" w:type="dxa"/>
            <w:tcBorders>
              <w:top w:val="nil"/>
              <w:left w:val="nil"/>
              <w:bottom w:val="single" w:sz="4" w:space="0" w:color="auto"/>
              <w:right w:val="single" w:sz="4" w:space="0" w:color="auto"/>
            </w:tcBorders>
            <w:shd w:val="clear" w:color="000000" w:fill="D9D9D9"/>
            <w:noWrap/>
            <w:vAlign w:val="center"/>
            <w:hideMark/>
          </w:tcPr>
          <w:p w14:paraId="6AE9DD3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9.27</w:t>
            </w:r>
          </w:p>
        </w:tc>
        <w:tc>
          <w:tcPr>
            <w:tcW w:w="850" w:type="dxa"/>
            <w:tcBorders>
              <w:top w:val="nil"/>
              <w:left w:val="nil"/>
              <w:bottom w:val="single" w:sz="4" w:space="0" w:color="auto"/>
              <w:right w:val="single" w:sz="4" w:space="0" w:color="auto"/>
            </w:tcBorders>
            <w:shd w:val="clear" w:color="auto" w:fill="auto"/>
            <w:noWrap/>
            <w:vAlign w:val="center"/>
            <w:hideMark/>
          </w:tcPr>
          <w:p w14:paraId="28D8B38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99.47</w:t>
            </w:r>
          </w:p>
        </w:tc>
        <w:tc>
          <w:tcPr>
            <w:tcW w:w="850" w:type="dxa"/>
            <w:tcBorders>
              <w:top w:val="nil"/>
              <w:left w:val="nil"/>
              <w:bottom w:val="single" w:sz="4" w:space="0" w:color="auto"/>
              <w:right w:val="single" w:sz="4" w:space="0" w:color="auto"/>
            </w:tcBorders>
            <w:shd w:val="clear" w:color="000000" w:fill="BDD7EE"/>
            <w:noWrap/>
            <w:vAlign w:val="center"/>
            <w:hideMark/>
          </w:tcPr>
          <w:p w14:paraId="1C6C9B4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90.21</w:t>
            </w:r>
          </w:p>
        </w:tc>
        <w:tc>
          <w:tcPr>
            <w:tcW w:w="850" w:type="dxa"/>
            <w:tcBorders>
              <w:top w:val="nil"/>
              <w:left w:val="nil"/>
              <w:bottom w:val="single" w:sz="4" w:space="0" w:color="auto"/>
              <w:right w:val="single" w:sz="4" w:space="0" w:color="auto"/>
            </w:tcBorders>
            <w:shd w:val="clear" w:color="000000" w:fill="D9D9D9"/>
            <w:noWrap/>
            <w:vAlign w:val="center"/>
            <w:hideMark/>
          </w:tcPr>
          <w:p w14:paraId="0D8D22E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9.28</w:t>
            </w:r>
          </w:p>
        </w:tc>
        <w:tc>
          <w:tcPr>
            <w:tcW w:w="850" w:type="dxa"/>
            <w:tcBorders>
              <w:top w:val="nil"/>
              <w:left w:val="nil"/>
              <w:bottom w:val="single" w:sz="4" w:space="0" w:color="auto"/>
              <w:right w:val="single" w:sz="4" w:space="0" w:color="auto"/>
            </w:tcBorders>
            <w:shd w:val="clear" w:color="auto" w:fill="auto"/>
            <w:noWrap/>
            <w:vAlign w:val="center"/>
            <w:hideMark/>
          </w:tcPr>
          <w:p w14:paraId="7A81797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99.48</w:t>
            </w:r>
          </w:p>
        </w:tc>
        <w:tc>
          <w:tcPr>
            <w:tcW w:w="850" w:type="dxa"/>
            <w:tcBorders>
              <w:top w:val="nil"/>
              <w:left w:val="nil"/>
              <w:bottom w:val="single" w:sz="4" w:space="0" w:color="auto"/>
              <w:right w:val="single" w:sz="4" w:space="0" w:color="auto"/>
            </w:tcBorders>
            <w:shd w:val="clear" w:color="000000" w:fill="BDD7EE"/>
            <w:noWrap/>
            <w:vAlign w:val="center"/>
            <w:hideMark/>
          </w:tcPr>
          <w:p w14:paraId="541CEFB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90.20</w:t>
            </w:r>
          </w:p>
        </w:tc>
        <w:tc>
          <w:tcPr>
            <w:tcW w:w="850" w:type="dxa"/>
            <w:tcBorders>
              <w:top w:val="nil"/>
              <w:left w:val="nil"/>
              <w:bottom w:val="single" w:sz="4" w:space="0" w:color="auto"/>
              <w:right w:val="single" w:sz="4" w:space="0" w:color="auto"/>
            </w:tcBorders>
            <w:shd w:val="clear" w:color="000000" w:fill="D9D9D9"/>
            <w:noWrap/>
            <w:vAlign w:val="center"/>
            <w:hideMark/>
          </w:tcPr>
          <w:p w14:paraId="75252F7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9.27</w:t>
            </w:r>
          </w:p>
        </w:tc>
        <w:tc>
          <w:tcPr>
            <w:tcW w:w="850" w:type="dxa"/>
            <w:tcBorders>
              <w:top w:val="nil"/>
              <w:left w:val="nil"/>
              <w:bottom w:val="single" w:sz="4" w:space="0" w:color="auto"/>
              <w:right w:val="single" w:sz="4" w:space="0" w:color="auto"/>
            </w:tcBorders>
            <w:shd w:val="clear" w:color="auto" w:fill="auto"/>
            <w:noWrap/>
            <w:vAlign w:val="center"/>
            <w:hideMark/>
          </w:tcPr>
          <w:p w14:paraId="2E9C0A2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99.47</w:t>
            </w:r>
          </w:p>
        </w:tc>
      </w:tr>
      <w:tr w:rsidR="0088258D" w:rsidRPr="00B92499" w14:paraId="38088659"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228745F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4</w:t>
            </w:r>
          </w:p>
        </w:tc>
        <w:tc>
          <w:tcPr>
            <w:tcW w:w="1304" w:type="dxa"/>
            <w:tcBorders>
              <w:top w:val="nil"/>
              <w:left w:val="nil"/>
              <w:bottom w:val="single" w:sz="4" w:space="0" w:color="auto"/>
              <w:right w:val="single" w:sz="4" w:space="0" w:color="auto"/>
            </w:tcBorders>
            <w:shd w:val="clear" w:color="000000" w:fill="FFFFFF"/>
            <w:vAlign w:val="center"/>
            <w:hideMark/>
          </w:tcPr>
          <w:p w14:paraId="3A93D1A6"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Tláhuac</w:t>
            </w:r>
          </w:p>
        </w:tc>
        <w:tc>
          <w:tcPr>
            <w:tcW w:w="850" w:type="dxa"/>
            <w:tcBorders>
              <w:top w:val="nil"/>
              <w:left w:val="nil"/>
              <w:bottom w:val="single" w:sz="4" w:space="0" w:color="auto"/>
              <w:right w:val="single" w:sz="4" w:space="0" w:color="auto"/>
            </w:tcBorders>
            <w:shd w:val="clear" w:color="000000" w:fill="BDD7EE"/>
            <w:noWrap/>
            <w:vAlign w:val="center"/>
            <w:hideMark/>
          </w:tcPr>
          <w:p w14:paraId="53DE9AA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98.32</w:t>
            </w:r>
          </w:p>
        </w:tc>
        <w:tc>
          <w:tcPr>
            <w:tcW w:w="850" w:type="dxa"/>
            <w:tcBorders>
              <w:top w:val="nil"/>
              <w:left w:val="nil"/>
              <w:bottom w:val="single" w:sz="4" w:space="0" w:color="auto"/>
              <w:right w:val="single" w:sz="4" w:space="0" w:color="auto"/>
            </w:tcBorders>
            <w:shd w:val="clear" w:color="000000" w:fill="D9D9D9"/>
            <w:noWrap/>
            <w:vAlign w:val="center"/>
            <w:hideMark/>
          </w:tcPr>
          <w:p w14:paraId="1DDEFDB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0.46</w:t>
            </w:r>
          </w:p>
        </w:tc>
        <w:tc>
          <w:tcPr>
            <w:tcW w:w="850" w:type="dxa"/>
            <w:tcBorders>
              <w:top w:val="nil"/>
              <w:left w:val="nil"/>
              <w:bottom w:val="single" w:sz="4" w:space="0" w:color="auto"/>
              <w:right w:val="single" w:sz="4" w:space="0" w:color="auto"/>
            </w:tcBorders>
            <w:shd w:val="clear" w:color="auto" w:fill="auto"/>
            <w:noWrap/>
            <w:vAlign w:val="center"/>
            <w:hideMark/>
          </w:tcPr>
          <w:p w14:paraId="0EB8063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98.77</w:t>
            </w:r>
          </w:p>
        </w:tc>
        <w:tc>
          <w:tcPr>
            <w:tcW w:w="850" w:type="dxa"/>
            <w:tcBorders>
              <w:top w:val="nil"/>
              <w:left w:val="nil"/>
              <w:bottom w:val="single" w:sz="4" w:space="0" w:color="auto"/>
              <w:right w:val="single" w:sz="4" w:space="0" w:color="auto"/>
            </w:tcBorders>
            <w:shd w:val="clear" w:color="000000" w:fill="BDD7EE"/>
            <w:noWrap/>
            <w:vAlign w:val="center"/>
            <w:hideMark/>
          </w:tcPr>
          <w:p w14:paraId="44D2157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99.01</w:t>
            </w:r>
          </w:p>
        </w:tc>
        <w:tc>
          <w:tcPr>
            <w:tcW w:w="850" w:type="dxa"/>
            <w:tcBorders>
              <w:top w:val="nil"/>
              <w:left w:val="nil"/>
              <w:bottom w:val="single" w:sz="4" w:space="0" w:color="auto"/>
              <w:right w:val="single" w:sz="4" w:space="0" w:color="auto"/>
            </w:tcBorders>
            <w:shd w:val="clear" w:color="000000" w:fill="D9D9D9"/>
            <w:noWrap/>
            <w:vAlign w:val="center"/>
            <w:hideMark/>
          </w:tcPr>
          <w:p w14:paraId="4A8E284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0.44</w:t>
            </w:r>
          </w:p>
        </w:tc>
        <w:tc>
          <w:tcPr>
            <w:tcW w:w="850" w:type="dxa"/>
            <w:tcBorders>
              <w:top w:val="nil"/>
              <w:left w:val="nil"/>
              <w:bottom w:val="single" w:sz="4" w:space="0" w:color="auto"/>
              <w:right w:val="single" w:sz="4" w:space="0" w:color="auto"/>
            </w:tcBorders>
            <w:shd w:val="clear" w:color="auto" w:fill="auto"/>
            <w:noWrap/>
            <w:vAlign w:val="center"/>
            <w:hideMark/>
          </w:tcPr>
          <w:p w14:paraId="4AAC38E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99.46</w:t>
            </w:r>
          </w:p>
        </w:tc>
        <w:tc>
          <w:tcPr>
            <w:tcW w:w="850" w:type="dxa"/>
            <w:tcBorders>
              <w:top w:val="nil"/>
              <w:left w:val="nil"/>
              <w:bottom w:val="single" w:sz="4" w:space="0" w:color="auto"/>
              <w:right w:val="single" w:sz="4" w:space="0" w:color="auto"/>
            </w:tcBorders>
            <w:shd w:val="clear" w:color="000000" w:fill="BDD7EE"/>
            <w:noWrap/>
            <w:vAlign w:val="center"/>
            <w:hideMark/>
          </w:tcPr>
          <w:p w14:paraId="4C0F111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98.66</w:t>
            </w:r>
          </w:p>
        </w:tc>
        <w:tc>
          <w:tcPr>
            <w:tcW w:w="850" w:type="dxa"/>
            <w:tcBorders>
              <w:top w:val="nil"/>
              <w:left w:val="nil"/>
              <w:bottom w:val="single" w:sz="4" w:space="0" w:color="auto"/>
              <w:right w:val="single" w:sz="4" w:space="0" w:color="auto"/>
            </w:tcBorders>
            <w:shd w:val="clear" w:color="000000" w:fill="D9D9D9"/>
            <w:noWrap/>
            <w:vAlign w:val="center"/>
            <w:hideMark/>
          </w:tcPr>
          <w:p w14:paraId="790E804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0.45</w:t>
            </w:r>
          </w:p>
        </w:tc>
        <w:tc>
          <w:tcPr>
            <w:tcW w:w="850" w:type="dxa"/>
            <w:tcBorders>
              <w:top w:val="nil"/>
              <w:left w:val="nil"/>
              <w:bottom w:val="single" w:sz="4" w:space="0" w:color="auto"/>
              <w:right w:val="single" w:sz="4" w:space="0" w:color="auto"/>
            </w:tcBorders>
            <w:shd w:val="clear" w:color="auto" w:fill="auto"/>
            <w:noWrap/>
            <w:vAlign w:val="center"/>
            <w:hideMark/>
          </w:tcPr>
          <w:p w14:paraId="3C5C327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99.12</w:t>
            </w:r>
          </w:p>
        </w:tc>
      </w:tr>
      <w:tr w:rsidR="0088258D" w:rsidRPr="00B92499" w14:paraId="315CD046"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3A16E7F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5</w:t>
            </w:r>
          </w:p>
        </w:tc>
        <w:tc>
          <w:tcPr>
            <w:tcW w:w="1304" w:type="dxa"/>
            <w:tcBorders>
              <w:top w:val="nil"/>
              <w:left w:val="nil"/>
              <w:bottom w:val="single" w:sz="4" w:space="0" w:color="auto"/>
              <w:right w:val="single" w:sz="4" w:space="0" w:color="auto"/>
            </w:tcBorders>
            <w:shd w:val="clear" w:color="000000" w:fill="FFFFFF"/>
            <w:vAlign w:val="center"/>
            <w:hideMark/>
          </w:tcPr>
          <w:p w14:paraId="1BCE9EB8"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Cuauhtémoc</w:t>
            </w:r>
          </w:p>
        </w:tc>
        <w:tc>
          <w:tcPr>
            <w:tcW w:w="850" w:type="dxa"/>
            <w:tcBorders>
              <w:top w:val="nil"/>
              <w:left w:val="nil"/>
              <w:bottom w:val="single" w:sz="4" w:space="0" w:color="auto"/>
              <w:right w:val="single" w:sz="4" w:space="0" w:color="auto"/>
            </w:tcBorders>
            <w:shd w:val="clear" w:color="000000" w:fill="BDD7EE"/>
            <w:noWrap/>
            <w:vAlign w:val="center"/>
            <w:hideMark/>
          </w:tcPr>
          <w:p w14:paraId="60ABA91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96.90</w:t>
            </w:r>
          </w:p>
        </w:tc>
        <w:tc>
          <w:tcPr>
            <w:tcW w:w="850" w:type="dxa"/>
            <w:tcBorders>
              <w:top w:val="nil"/>
              <w:left w:val="nil"/>
              <w:bottom w:val="single" w:sz="4" w:space="0" w:color="auto"/>
              <w:right w:val="single" w:sz="4" w:space="0" w:color="auto"/>
            </w:tcBorders>
            <w:shd w:val="clear" w:color="000000" w:fill="D9D9D9"/>
            <w:noWrap/>
            <w:vAlign w:val="center"/>
            <w:hideMark/>
          </w:tcPr>
          <w:p w14:paraId="3482FD0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0.91</w:t>
            </w:r>
          </w:p>
        </w:tc>
        <w:tc>
          <w:tcPr>
            <w:tcW w:w="850" w:type="dxa"/>
            <w:tcBorders>
              <w:top w:val="nil"/>
              <w:left w:val="nil"/>
              <w:bottom w:val="single" w:sz="4" w:space="0" w:color="auto"/>
              <w:right w:val="single" w:sz="4" w:space="0" w:color="auto"/>
            </w:tcBorders>
            <w:shd w:val="clear" w:color="auto" w:fill="auto"/>
            <w:noWrap/>
            <w:vAlign w:val="center"/>
            <w:hideMark/>
          </w:tcPr>
          <w:p w14:paraId="203199F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97.81</w:t>
            </w:r>
          </w:p>
        </w:tc>
        <w:tc>
          <w:tcPr>
            <w:tcW w:w="850" w:type="dxa"/>
            <w:tcBorders>
              <w:top w:val="nil"/>
              <w:left w:val="nil"/>
              <w:bottom w:val="single" w:sz="4" w:space="0" w:color="auto"/>
              <w:right w:val="single" w:sz="4" w:space="0" w:color="auto"/>
            </w:tcBorders>
            <w:shd w:val="clear" w:color="000000" w:fill="BDD7EE"/>
            <w:noWrap/>
            <w:vAlign w:val="center"/>
            <w:hideMark/>
          </w:tcPr>
          <w:p w14:paraId="29EC307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95.68</w:t>
            </w:r>
          </w:p>
        </w:tc>
        <w:tc>
          <w:tcPr>
            <w:tcW w:w="850" w:type="dxa"/>
            <w:tcBorders>
              <w:top w:val="nil"/>
              <w:left w:val="nil"/>
              <w:bottom w:val="single" w:sz="4" w:space="0" w:color="auto"/>
              <w:right w:val="single" w:sz="4" w:space="0" w:color="auto"/>
            </w:tcBorders>
            <w:shd w:val="clear" w:color="000000" w:fill="D9D9D9"/>
            <w:noWrap/>
            <w:vAlign w:val="center"/>
            <w:hideMark/>
          </w:tcPr>
          <w:p w14:paraId="650CCEC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0.91</w:t>
            </w:r>
          </w:p>
        </w:tc>
        <w:tc>
          <w:tcPr>
            <w:tcW w:w="850" w:type="dxa"/>
            <w:tcBorders>
              <w:top w:val="nil"/>
              <w:left w:val="nil"/>
              <w:bottom w:val="single" w:sz="4" w:space="0" w:color="auto"/>
              <w:right w:val="single" w:sz="4" w:space="0" w:color="auto"/>
            </w:tcBorders>
            <w:shd w:val="clear" w:color="auto" w:fill="auto"/>
            <w:noWrap/>
            <w:vAlign w:val="center"/>
            <w:hideMark/>
          </w:tcPr>
          <w:p w14:paraId="376577F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96.59</w:t>
            </w:r>
          </w:p>
        </w:tc>
        <w:tc>
          <w:tcPr>
            <w:tcW w:w="850" w:type="dxa"/>
            <w:tcBorders>
              <w:top w:val="nil"/>
              <w:left w:val="nil"/>
              <w:bottom w:val="single" w:sz="4" w:space="0" w:color="auto"/>
              <w:right w:val="single" w:sz="4" w:space="0" w:color="auto"/>
            </w:tcBorders>
            <w:shd w:val="clear" w:color="000000" w:fill="BDD7EE"/>
            <w:noWrap/>
            <w:vAlign w:val="center"/>
            <w:hideMark/>
          </w:tcPr>
          <w:p w14:paraId="4AB7359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96.29</w:t>
            </w:r>
          </w:p>
        </w:tc>
        <w:tc>
          <w:tcPr>
            <w:tcW w:w="850" w:type="dxa"/>
            <w:tcBorders>
              <w:top w:val="nil"/>
              <w:left w:val="nil"/>
              <w:bottom w:val="single" w:sz="4" w:space="0" w:color="auto"/>
              <w:right w:val="single" w:sz="4" w:space="0" w:color="auto"/>
            </w:tcBorders>
            <w:shd w:val="clear" w:color="000000" w:fill="D9D9D9"/>
            <w:noWrap/>
            <w:vAlign w:val="center"/>
            <w:hideMark/>
          </w:tcPr>
          <w:p w14:paraId="7190927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0.91</w:t>
            </w:r>
          </w:p>
        </w:tc>
        <w:tc>
          <w:tcPr>
            <w:tcW w:w="850" w:type="dxa"/>
            <w:tcBorders>
              <w:top w:val="nil"/>
              <w:left w:val="nil"/>
              <w:bottom w:val="single" w:sz="4" w:space="0" w:color="auto"/>
              <w:right w:val="single" w:sz="4" w:space="0" w:color="auto"/>
            </w:tcBorders>
            <w:shd w:val="clear" w:color="auto" w:fill="auto"/>
            <w:noWrap/>
            <w:vAlign w:val="center"/>
            <w:hideMark/>
          </w:tcPr>
          <w:p w14:paraId="524EBAB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97.20</w:t>
            </w:r>
          </w:p>
        </w:tc>
      </w:tr>
      <w:tr w:rsidR="0088258D" w:rsidRPr="00B92499" w14:paraId="76A67F05"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0AEDB34"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w:t>
            </w:r>
          </w:p>
        </w:tc>
        <w:tc>
          <w:tcPr>
            <w:tcW w:w="1304" w:type="dxa"/>
            <w:tcBorders>
              <w:top w:val="nil"/>
              <w:left w:val="nil"/>
              <w:bottom w:val="single" w:sz="4" w:space="0" w:color="auto"/>
              <w:right w:val="single" w:sz="4" w:space="0" w:color="auto"/>
            </w:tcBorders>
            <w:shd w:val="clear" w:color="000000" w:fill="FFFFFF"/>
            <w:vAlign w:val="center"/>
            <w:hideMark/>
          </w:tcPr>
          <w:p w14:paraId="5F1C488F"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Iztapalapa</w:t>
            </w:r>
          </w:p>
        </w:tc>
        <w:tc>
          <w:tcPr>
            <w:tcW w:w="850" w:type="dxa"/>
            <w:tcBorders>
              <w:top w:val="nil"/>
              <w:left w:val="nil"/>
              <w:bottom w:val="single" w:sz="4" w:space="0" w:color="auto"/>
              <w:right w:val="single" w:sz="4" w:space="0" w:color="auto"/>
            </w:tcBorders>
            <w:shd w:val="clear" w:color="000000" w:fill="BDD7EE"/>
            <w:noWrap/>
            <w:vAlign w:val="center"/>
            <w:hideMark/>
          </w:tcPr>
          <w:p w14:paraId="5B187AA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88.99</w:t>
            </w:r>
          </w:p>
        </w:tc>
        <w:tc>
          <w:tcPr>
            <w:tcW w:w="850" w:type="dxa"/>
            <w:tcBorders>
              <w:top w:val="nil"/>
              <w:left w:val="nil"/>
              <w:bottom w:val="single" w:sz="4" w:space="0" w:color="auto"/>
              <w:right w:val="single" w:sz="4" w:space="0" w:color="auto"/>
            </w:tcBorders>
            <w:shd w:val="clear" w:color="000000" w:fill="D9D9D9"/>
            <w:noWrap/>
            <w:vAlign w:val="center"/>
            <w:hideMark/>
          </w:tcPr>
          <w:p w14:paraId="5526374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2.63</w:t>
            </w:r>
          </w:p>
        </w:tc>
        <w:tc>
          <w:tcPr>
            <w:tcW w:w="850" w:type="dxa"/>
            <w:tcBorders>
              <w:top w:val="nil"/>
              <w:left w:val="nil"/>
              <w:bottom w:val="single" w:sz="4" w:space="0" w:color="auto"/>
              <w:right w:val="single" w:sz="4" w:space="0" w:color="auto"/>
            </w:tcBorders>
            <w:shd w:val="clear" w:color="auto" w:fill="auto"/>
            <w:noWrap/>
            <w:vAlign w:val="center"/>
            <w:hideMark/>
          </w:tcPr>
          <w:p w14:paraId="36246E9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91.63</w:t>
            </w:r>
          </w:p>
        </w:tc>
        <w:tc>
          <w:tcPr>
            <w:tcW w:w="850" w:type="dxa"/>
            <w:tcBorders>
              <w:top w:val="nil"/>
              <w:left w:val="nil"/>
              <w:bottom w:val="single" w:sz="4" w:space="0" w:color="auto"/>
              <w:right w:val="single" w:sz="4" w:space="0" w:color="auto"/>
            </w:tcBorders>
            <w:shd w:val="clear" w:color="000000" w:fill="BDD7EE"/>
            <w:noWrap/>
            <w:vAlign w:val="center"/>
            <w:hideMark/>
          </w:tcPr>
          <w:p w14:paraId="2EB4A7F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89.44</w:t>
            </w:r>
          </w:p>
        </w:tc>
        <w:tc>
          <w:tcPr>
            <w:tcW w:w="850" w:type="dxa"/>
            <w:tcBorders>
              <w:top w:val="nil"/>
              <w:left w:val="nil"/>
              <w:bottom w:val="single" w:sz="4" w:space="0" w:color="auto"/>
              <w:right w:val="single" w:sz="4" w:space="0" w:color="auto"/>
            </w:tcBorders>
            <w:shd w:val="clear" w:color="000000" w:fill="D9D9D9"/>
            <w:noWrap/>
            <w:vAlign w:val="center"/>
            <w:hideMark/>
          </w:tcPr>
          <w:p w14:paraId="639BD51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2.35</w:t>
            </w:r>
          </w:p>
        </w:tc>
        <w:tc>
          <w:tcPr>
            <w:tcW w:w="850" w:type="dxa"/>
            <w:tcBorders>
              <w:top w:val="nil"/>
              <w:left w:val="nil"/>
              <w:bottom w:val="single" w:sz="4" w:space="0" w:color="auto"/>
              <w:right w:val="single" w:sz="4" w:space="0" w:color="auto"/>
            </w:tcBorders>
            <w:shd w:val="clear" w:color="auto" w:fill="auto"/>
            <w:noWrap/>
            <w:vAlign w:val="center"/>
            <w:hideMark/>
          </w:tcPr>
          <w:p w14:paraId="6C4BB07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91.79</w:t>
            </w:r>
          </w:p>
        </w:tc>
        <w:tc>
          <w:tcPr>
            <w:tcW w:w="850" w:type="dxa"/>
            <w:tcBorders>
              <w:top w:val="nil"/>
              <w:left w:val="nil"/>
              <w:bottom w:val="single" w:sz="4" w:space="0" w:color="auto"/>
              <w:right w:val="single" w:sz="4" w:space="0" w:color="auto"/>
            </w:tcBorders>
            <w:shd w:val="clear" w:color="000000" w:fill="BDD7EE"/>
            <w:noWrap/>
            <w:vAlign w:val="center"/>
            <w:hideMark/>
          </w:tcPr>
          <w:p w14:paraId="2EBCE95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89.22</w:t>
            </w:r>
          </w:p>
        </w:tc>
        <w:tc>
          <w:tcPr>
            <w:tcW w:w="850" w:type="dxa"/>
            <w:tcBorders>
              <w:top w:val="nil"/>
              <w:left w:val="nil"/>
              <w:bottom w:val="single" w:sz="4" w:space="0" w:color="auto"/>
              <w:right w:val="single" w:sz="4" w:space="0" w:color="auto"/>
            </w:tcBorders>
            <w:shd w:val="clear" w:color="000000" w:fill="D9D9D9"/>
            <w:noWrap/>
            <w:vAlign w:val="center"/>
            <w:hideMark/>
          </w:tcPr>
          <w:p w14:paraId="2051A0F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2.49</w:t>
            </w:r>
          </w:p>
        </w:tc>
        <w:tc>
          <w:tcPr>
            <w:tcW w:w="850" w:type="dxa"/>
            <w:tcBorders>
              <w:top w:val="nil"/>
              <w:left w:val="nil"/>
              <w:bottom w:val="single" w:sz="4" w:space="0" w:color="auto"/>
              <w:right w:val="single" w:sz="4" w:space="0" w:color="auto"/>
            </w:tcBorders>
            <w:shd w:val="clear" w:color="auto" w:fill="auto"/>
            <w:noWrap/>
            <w:vAlign w:val="center"/>
            <w:hideMark/>
          </w:tcPr>
          <w:p w14:paraId="76996AE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91.71</w:t>
            </w:r>
          </w:p>
        </w:tc>
      </w:tr>
      <w:tr w:rsidR="0088258D" w:rsidRPr="00B92499" w14:paraId="0F2E8819" w14:textId="77777777" w:rsidTr="00027F6E">
        <w:trPr>
          <w:trHeight w:val="102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6C63ED0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w:t>
            </w:r>
          </w:p>
        </w:tc>
        <w:tc>
          <w:tcPr>
            <w:tcW w:w="1304" w:type="dxa"/>
            <w:tcBorders>
              <w:top w:val="nil"/>
              <w:left w:val="nil"/>
              <w:bottom w:val="single" w:sz="4" w:space="0" w:color="auto"/>
              <w:right w:val="single" w:sz="4" w:space="0" w:color="auto"/>
            </w:tcBorders>
            <w:shd w:val="clear" w:color="000000" w:fill="FFFFFF"/>
            <w:vAlign w:val="center"/>
            <w:hideMark/>
          </w:tcPr>
          <w:p w14:paraId="508A373C"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Gustavo A Madero</w:t>
            </w:r>
          </w:p>
        </w:tc>
        <w:tc>
          <w:tcPr>
            <w:tcW w:w="850" w:type="dxa"/>
            <w:tcBorders>
              <w:top w:val="nil"/>
              <w:left w:val="nil"/>
              <w:bottom w:val="single" w:sz="4" w:space="0" w:color="auto"/>
              <w:right w:val="single" w:sz="4" w:space="0" w:color="auto"/>
            </w:tcBorders>
            <w:shd w:val="clear" w:color="000000" w:fill="BDD7EE"/>
            <w:noWrap/>
            <w:vAlign w:val="center"/>
            <w:hideMark/>
          </w:tcPr>
          <w:p w14:paraId="6175CA1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90.01</w:t>
            </w:r>
          </w:p>
        </w:tc>
        <w:tc>
          <w:tcPr>
            <w:tcW w:w="850" w:type="dxa"/>
            <w:tcBorders>
              <w:top w:val="nil"/>
              <w:left w:val="nil"/>
              <w:bottom w:val="single" w:sz="4" w:space="0" w:color="auto"/>
              <w:right w:val="single" w:sz="4" w:space="0" w:color="auto"/>
            </w:tcBorders>
            <w:shd w:val="clear" w:color="000000" w:fill="D9D9D9"/>
            <w:noWrap/>
            <w:vAlign w:val="center"/>
            <w:hideMark/>
          </w:tcPr>
          <w:p w14:paraId="7ED6D7A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1.62</w:t>
            </w:r>
          </w:p>
        </w:tc>
        <w:tc>
          <w:tcPr>
            <w:tcW w:w="850" w:type="dxa"/>
            <w:tcBorders>
              <w:top w:val="nil"/>
              <w:left w:val="nil"/>
              <w:bottom w:val="single" w:sz="4" w:space="0" w:color="auto"/>
              <w:right w:val="single" w:sz="4" w:space="0" w:color="auto"/>
            </w:tcBorders>
            <w:shd w:val="clear" w:color="auto" w:fill="auto"/>
            <w:noWrap/>
            <w:vAlign w:val="center"/>
            <w:hideMark/>
          </w:tcPr>
          <w:p w14:paraId="131B1E5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91.64</w:t>
            </w:r>
          </w:p>
        </w:tc>
        <w:tc>
          <w:tcPr>
            <w:tcW w:w="850" w:type="dxa"/>
            <w:tcBorders>
              <w:top w:val="nil"/>
              <w:left w:val="nil"/>
              <w:bottom w:val="single" w:sz="4" w:space="0" w:color="auto"/>
              <w:right w:val="single" w:sz="4" w:space="0" w:color="auto"/>
            </w:tcBorders>
            <w:shd w:val="clear" w:color="000000" w:fill="BDD7EE"/>
            <w:noWrap/>
            <w:vAlign w:val="center"/>
            <w:hideMark/>
          </w:tcPr>
          <w:p w14:paraId="1266F9B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89.31</w:t>
            </w:r>
          </w:p>
        </w:tc>
        <w:tc>
          <w:tcPr>
            <w:tcW w:w="850" w:type="dxa"/>
            <w:tcBorders>
              <w:top w:val="nil"/>
              <w:left w:val="nil"/>
              <w:bottom w:val="single" w:sz="4" w:space="0" w:color="auto"/>
              <w:right w:val="single" w:sz="4" w:space="0" w:color="auto"/>
            </w:tcBorders>
            <w:shd w:val="clear" w:color="000000" w:fill="D9D9D9"/>
            <w:noWrap/>
            <w:vAlign w:val="center"/>
            <w:hideMark/>
          </w:tcPr>
          <w:p w14:paraId="1387D29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1.62</w:t>
            </w:r>
          </w:p>
        </w:tc>
        <w:tc>
          <w:tcPr>
            <w:tcW w:w="850" w:type="dxa"/>
            <w:tcBorders>
              <w:top w:val="nil"/>
              <w:left w:val="nil"/>
              <w:bottom w:val="single" w:sz="4" w:space="0" w:color="auto"/>
              <w:right w:val="single" w:sz="4" w:space="0" w:color="auto"/>
            </w:tcBorders>
            <w:shd w:val="clear" w:color="auto" w:fill="auto"/>
            <w:noWrap/>
            <w:vAlign w:val="center"/>
            <w:hideMark/>
          </w:tcPr>
          <w:p w14:paraId="5CA6487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90.94</w:t>
            </w:r>
          </w:p>
        </w:tc>
        <w:tc>
          <w:tcPr>
            <w:tcW w:w="850" w:type="dxa"/>
            <w:tcBorders>
              <w:top w:val="nil"/>
              <w:left w:val="nil"/>
              <w:bottom w:val="single" w:sz="4" w:space="0" w:color="auto"/>
              <w:right w:val="single" w:sz="4" w:space="0" w:color="auto"/>
            </w:tcBorders>
            <w:shd w:val="clear" w:color="000000" w:fill="BDD7EE"/>
            <w:noWrap/>
            <w:vAlign w:val="center"/>
            <w:hideMark/>
          </w:tcPr>
          <w:p w14:paraId="7236C8C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89.66</w:t>
            </w:r>
          </w:p>
        </w:tc>
        <w:tc>
          <w:tcPr>
            <w:tcW w:w="850" w:type="dxa"/>
            <w:tcBorders>
              <w:top w:val="nil"/>
              <w:left w:val="nil"/>
              <w:bottom w:val="single" w:sz="4" w:space="0" w:color="auto"/>
              <w:right w:val="single" w:sz="4" w:space="0" w:color="auto"/>
            </w:tcBorders>
            <w:shd w:val="clear" w:color="000000" w:fill="D9D9D9"/>
            <w:noWrap/>
            <w:vAlign w:val="center"/>
            <w:hideMark/>
          </w:tcPr>
          <w:p w14:paraId="3AC097E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1.62</w:t>
            </w:r>
          </w:p>
        </w:tc>
        <w:tc>
          <w:tcPr>
            <w:tcW w:w="850" w:type="dxa"/>
            <w:tcBorders>
              <w:top w:val="nil"/>
              <w:left w:val="nil"/>
              <w:bottom w:val="single" w:sz="4" w:space="0" w:color="auto"/>
              <w:right w:val="single" w:sz="4" w:space="0" w:color="auto"/>
            </w:tcBorders>
            <w:shd w:val="clear" w:color="auto" w:fill="auto"/>
            <w:noWrap/>
            <w:vAlign w:val="center"/>
            <w:hideMark/>
          </w:tcPr>
          <w:p w14:paraId="0990B2F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91.29</w:t>
            </w:r>
          </w:p>
        </w:tc>
      </w:tr>
      <w:tr w:rsidR="0088258D" w:rsidRPr="00B92499" w14:paraId="53321E89"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727DCC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w:t>
            </w:r>
          </w:p>
        </w:tc>
        <w:tc>
          <w:tcPr>
            <w:tcW w:w="1304" w:type="dxa"/>
            <w:tcBorders>
              <w:top w:val="nil"/>
              <w:left w:val="nil"/>
              <w:bottom w:val="single" w:sz="4" w:space="0" w:color="auto"/>
              <w:right w:val="single" w:sz="4" w:space="0" w:color="auto"/>
            </w:tcBorders>
            <w:shd w:val="clear" w:color="000000" w:fill="FFFFFF"/>
            <w:vAlign w:val="center"/>
            <w:hideMark/>
          </w:tcPr>
          <w:p w14:paraId="1F4EADBE"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Azcapotzalco</w:t>
            </w:r>
          </w:p>
        </w:tc>
        <w:tc>
          <w:tcPr>
            <w:tcW w:w="850" w:type="dxa"/>
            <w:tcBorders>
              <w:top w:val="nil"/>
              <w:left w:val="nil"/>
              <w:bottom w:val="single" w:sz="4" w:space="0" w:color="auto"/>
              <w:right w:val="single" w:sz="4" w:space="0" w:color="auto"/>
            </w:tcBorders>
            <w:shd w:val="clear" w:color="000000" w:fill="BDD7EE"/>
            <w:noWrap/>
            <w:vAlign w:val="center"/>
            <w:hideMark/>
          </w:tcPr>
          <w:p w14:paraId="286C22D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86.33</w:t>
            </w:r>
          </w:p>
        </w:tc>
        <w:tc>
          <w:tcPr>
            <w:tcW w:w="850" w:type="dxa"/>
            <w:tcBorders>
              <w:top w:val="nil"/>
              <w:left w:val="nil"/>
              <w:bottom w:val="single" w:sz="4" w:space="0" w:color="auto"/>
              <w:right w:val="single" w:sz="4" w:space="0" w:color="auto"/>
            </w:tcBorders>
            <w:shd w:val="clear" w:color="000000" w:fill="D9D9D9"/>
            <w:noWrap/>
            <w:vAlign w:val="center"/>
            <w:hideMark/>
          </w:tcPr>
          <w:p w14:paraId="57829E7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3.20</w:t>
            </w:r>
          </w:p>
        </w:tc>
        <w:tc>
          <w:tcPr>
            <w:tcW w:w="850" w:type="dxa"/>
            <w:tcBorders>
              <w:top w:val="nil"/>
              <w:left w:val="nil"/>
              <w:bottom w:val="single" w:sz="4" w:space="0" w:color="auto"/>
              <w:right w:val="single" w:sz="4" w:space="0" w:color="auto"/>
            </w:tcBorders>
            <w:shd w:val="clear" w:color="auto" w:fill="auto"/>
            <w:noWrap/>
            <w:vAlign w:val="center"/>
            <w:hideMark/>
          </w:tcPr>
          <w:p w14:paraId="4906838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89.53</w:t>
            </w:r>
          </w:p>
        </w:tc>
        <w:tc>
          <w:tcPr>
            <w:tcW w:w="850" w:type="dxa"/>
            <w:tcBorders>
              <w:top w:val="nil"/>
              <w:left w:val="nil"/>
              <w:bottom w:val="single" w:sz="4" w:space="0" w:color="auto"/>
              <w:right w:val="single" w:sz="4" w:space="0" w:color="auto"/>
            </w:tcBorders>
            <w:shd w:val="clear" w:color="000000" w:fill="BDD7EE"/>
            <w:noWrap/>
            <w:vAlign w:val="center"/>
            <w:hideMark/>
          </w:tcPr>
          <w:p w14:paraId="19F0269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88.48</w:t>
            </w:r>
          </w:p>
        </w:tc>
        <w:tc>
          <w:tcPr>
            <w:tcW w:w="850" w:type="dxa"/>
            <w:tcBorders>
              <w:top w:val="nil"/>
              <w:left w:val="nil"/>
              <w:bottom w:val="single" w:sz="4" w:space="0" w:color="auto"/>
              <w:right w:val="single" w:sz="4" w:space="0" w:color="auto"/>
            </w:tcBorders>
            <w:shd w:val="clear" w:color="000000" w:fill="D9D9D9"/>
            <w:noWrap/>
            <w:vAlign w:val="center"/>
            <w:hideMark/>
          </w:tcPr>
          <w:p w14:paraId="2D0514D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3.22</w:t>
            </w:r>
          </w:p>
        </w:tc>
        <w:tc>
          <w:tcPr>
            <w:tcW w:w="850" w:type="dxa"/>
            <w:tcBorders>
              <w:top w:val="nil"/>
              <w:left w:val="nil"/>
              <w:bottom w:val="single" w:sz="4" w:space="0" w:color="auto"/>
              <w:right w:val="single" w:sz="4" w:space="0" w:color="auto"/>
            </w:tcBorders>
            <w:shd w:val="clear" w:color="auto" w:fill="auto"/>
            <w:noWrap/>
            <w:vAlign w:val="center"/>
            <w:hideMark/>
          </w:tcPr>
          <w:p w14:paraId="36FD7FD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91.71</w:t>
            </w:r>
          </w:p>
        </w:tc>
        <w:tc>
          <w:tcPr>
            <w:tcW w:w="850" w:type="dxa"/>
            <w:tcBorders>
              <w:top w:val="nil"/>
              <w:left w:val="nil"/>
              <w:bottom w:val="single" w:sz="4" w:space="0" w:color="auto"/>
              <w:right w:val="single" w:sz="4" w:space="0" w:color="auto"/>
            </w:tcBorders>
            <w:shd w:val="clear" w:color="000000" w:fill="BDD7EE"/>
            <w:noWrap/>
            <w:vAlign w:val="center"/>
            <w:hideMark/>
          </w:tcPr>
          <w:p w14:paraId="361DCE4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87.41</w:t>
            </w:r>
          </w:p>
        </w:tc>
        <w:tc>
          <w:tcPr>
            <w:tcW w:w="850" w:type="dxa"/>
            <w:tcBorders>
              <w:top w:val="nil"/>
              <w:left w:val="nil"/>
              <w:bottom w:val="single" w:sz="4" w:space="0" w:color="auto"/>
              <w:right w:val="single" w:sz="4" w:space="0" w:color="auto"/>
            </w:tcBorders>
            <w:shd w:val="clear" w:color="000000" w:fill="D9D9D9"/>
            <w:noWrap/>
            <w:vAlign w:val="center"/>
            <w:hideMark/>
          </w:tcPr>
          <w:p w14:paraId="307FEAC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3.21</w:t>
            </w:r>
          </w:p>
        </w:tc>
        <w:tc>
          <w:tcPr>
            <w:tcW w:w="850" w:type="dxa"/>
            <w:tcBorders>
              <w:top w:val="nil"/>
              <w:left w:val="nil"/>
              <w:bottom w:val="single" w:sz="4" w:space="0" w:color="auto"/>
              <w:right w:val="single" w:sz="4" w:space="0" w:color="auto"/>
            </w:tcBorders>
            <w:shd w:val="clear" w:color="auto" w:fill="auto"/>
            <w:noWrap/>
            <w:vAlign w:val="center"/>
            <w:hideMark/>
          </w:tcPr>
          <w:p w14:paraId="365E1AA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90.62</w:t>
            </w:r>
          </w:p>
        </w:tc>
      </w:tr>
      <w:tr w:rsidR="0088258D" w:rsidRPr="00B92499" w14:paraId="7D5ED93B"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44CA56B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lastRenderedPageBreak/>
              <w:t>9</w:t>
            </w:r>
          </w:p>
        </w:tc>
        <w:tc>
          <w:tcPr>
            <w:tcW w:w="1304" w:type="dxa"/>
            <w:tcBorders>
              <w:top w:val="nil"/>
              <w:left w:val="nil"/>
              <w:bottom w:val="single" w:sz="4" w:space="0" w:color="auto"/>
              <w:right w:val="single" w:sz="4" w:space="0" w:color="auto"/>
            </w:tcBorders>
            <w:shd w:val="clear" w:color="000000" w:fill="FFFFFF"/>
            <w:vAlign w:val="center"/>
            <w:hideMark/>
          </w:tcPr>
          <w:p w14:paraId="216EA339"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Milpa Alta</w:t>
            </w:r>
          </w:p>
        </w:tc>
        <w:tc>
          <w:tcPr>
            <w:tcW w:w="850" w:type="dxa"/>
            <w:tcBorders>
              <w:top w:val="nil"/>
              <w:left w:val="nil"/>
              <w:bottom w:val="single" w:sz="4" w:space="0" w:color="auto"/>
              <w:right w:val="single" w:sz="4" w:space="0" w:color="auto"/>
            </w:tcBorders>
            <w:shd w:val="clear" w:color="000000" w:fill="BDD7EE"/>
            <w:noWrap/>
            <w:vAlign w:val="center"/>
            <w:hideMark/>
          </w:tcPr>
          <w:p w14:paraId="2C78804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86.36</w:t>
            </w:r>
          </w:p>
        </w:tc>
        <w:tc>
          <w:tcPr>
            <w:tcW w:w="850" w:type="dxa"/>
            <w:tcBorders>
              <w:top w:val="nil"/>
              <w:left w:val="nil"/>
              <w:bottom w:val="single" w:sz="4" w:space="0" w:color="auto"/>
              <w:right w:val="single" w:sz="4" w:space="0" w:color="auto"/>
            </w:tcBorders>
            <w:shd w:val="clear" w:color="000000" w:fill="D9D9D9"/>
            <w:noWrap/>
            <w:vAlign w:val="center"/>
            <w:hideMark/>
          </w:tcPr>
          <w:p w14:paraId="25DDCA9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0.02</w:t>
            </w:r>
          </w:p>
        </w:tc>
        <w:tc>
          <w:tcPr>
            <w:tcW w:w="850" w:type="dxa"/>
            <w:tcBorders>
              <w:top w:val="nil"/>
              <w:left w:val="nil"/>
              <w:bottom w:val="single" w:sz="4" w:space="0" w:color="auto"/>
              <w:right w:val="single" w:sz="4" w:space="0" w:color="auto"/>
            </w:tcBorders>
            <w:shd w:val="clear" w:color="auto" w:fill="auto"/>
            <w:noWrap/>
            <w:vAlign w:val="center"/>
            <w:hideMark/>
          </w:tcPr>
          <w:p w14:paraId="48B2799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86.38</w:t>
            </w:r>
          </w:p>
        </w:tc>
        <w:tc>
          <w:tcPr>
            <w:tcW w:w="850" w:type="dxa"/>
            <w:tcBorders>
              <w:top w:val="nil"/>
              <w:left w:val="nil"/>
              <w:bottom w:val="single" w:sz="4" w:space="0" w:color="auto"/>
              <w:right w:val="single" w:sz="4" w:space="0" w:color="auto"/>
            </w:tcBorders>
            <w:shd w:val="clear" w:color="000000" w:fill="BDD7EE"/>
            <w:noWrap/>
            <w:vAlign w:val="center"/>
            <w:hideMark/>
          </w:tcPr>
          <w:p w14:paraId="01EF9B8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91.49</w:t>
            </w:r>
          </w:p>
        </w:tc>
        <w:tc>
          <w:tcPr>
            <w:tcW w:w="850" w:type="dxa"/>
            <w:tcBorders>
              <w:top w:val="nil"/>
              <w:left w:val="nil"/>
              <w:bottom w:val="single" w:sz="4" w:space="0" w:color="auto"/>
              <w:right w:val="single" w:sz="4" w:space="0" w:color="auto"/>
            </w:tcBorders>
            <w:shd w:val="clear" w:color="000000" w:fill="D9D9D9"/>
            <w:noWrap/>
            <w:vAlign w:val="center"/>
            <w:hideMark/>
          </w:tcPr>
          <w:p w14:paraId="602E65A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0.23</w:t>
            </w:r>
          </w:p>
        </w:tc>
        <w:tc>
          <w:tcPr>
            <w:tcW w:w="850" w:type="dxa"/>
            <w:tcBorders>
              <w:top w:val="nil"/>
              <w:left w:val="nil"/>
              <w:bottom w:val="single" w:sz="4" w:space="0" w:color="auto"/>
              <w:right w:val="single" w:sz="4" w:space="0" w:color="auto"/>
            </w:tcBorders>
            <w:shd w:val="clear" w:color="auto" w:fill="auto"/>
            <w:noWrap/>
            <w:vAlign w:val="center"/>
            <w:hideMark/>
          </w:tcPr>
          <w:p w14:paraId="6EFFA3A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91.72</w:t>
            </w:r>
          </w:p>
        </w:tc>
        <w:tc>
          <w:tcPr>
            <w:tcW w:w="850" w:type="dxa"/>
            <w:tcBorders>
              <w:top w:val="nil"/>
              <w:left w:val="nil"/>
              <w:bottom w:val="single" w:sz="4" w:space="0" w:color="auto"/>
              <w:right w:val="single" w:sz="4" w:space="0" w:color="auto"/>
            </w:tcBorders>
            <w:shd w:val="clear" w:color="000000" w:fill="BDD7EE"/>
            <w:noWrap/>
            <w:vAlign w:val="center"/>
            <w:hideMark/>
          </w:tcPr>
          <w:p w14:paraId="6036D7B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88.92</w:t>
            </w:r>
          </w:p>
        </w:tc>
        <w:tc>
          <w:tcPr>
            <w:tcW w:w="850" w:type="dxa"/>
            <w:tcBorders>
              <w:top w:val="nil"/>
              <w:left w:val="nil"/>
              <w:bottom w:val="single" w:sz="4" w:space="0" w:color="auto"/>
              <w:right w:val="single" w:sz="4" w:space="0" w:color="auto"/>
            </w:tcBorders>
            <w:shd w:val="clear" w:color="000000" w:fill="D9D9D9"/>
            <w:noWrap/>
            <w:vAlign w:val="center"/>
            <w:hideMark/>
          </w:tcPr>
          <w:p w14:paraId="32FDBC2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0.13</w:t>
            </w:r>
          </w:p>
        </w:tc>
        <w:tc>
          <w:tcPr>
            <w:tcW w:w="850" w:type="dxa"/>
            <w:tcBorders>
              <w:top w:val="nil"/>
              <w:left w:val="nil"/>
              <w:bottom w:val="single" w:sz="4" w:space="0" w:color="auto"/>
              <w:right w:val="single" w:sz="4" w:space="0" w:color="auto"/>
            </w:tcBorders>
            <w:shd w:val="clear" w:color="auto" w:fill="auto"/>
            <w:noWrap/>
            <w:vAlign w:val="center"/>
            <w:hideMark/>
          </w:tcPr>
          <w:p w14:paraId="4B28F57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89.05</w:t>
            </w:r>
          </w:p>
        </w:tc>
      </w:tr>
      <w:tr w:rsidR="0088258D" w:rsidRPr="00B92499" w14:paraId="03B7354D" w14:textId="77777777" w:rsidTr="00027F6E">
        <w:trPr>
          <w:trHeight w:val="102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3AC0B34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10</w:t>
            </w:r>
          </w:p>
        </w:tc>
        <w:tc>
          <w:tcPr>
            <w:tcW w:w="1304" w:type="dxa"/>
            <w:tcBorders>
              <w:top w:val="nil"/>
              <w:left w:val="nil"/>
              <w:bottom w:val="single" w:sz="4" w:space="0" w:color="auto"/>
              <w:right w:val="single" w:sz="4" w:space="0" w:color="auto"/>
            </w:tcBorders>
            <w:shd w:val="clear" w:color="000000" w:fill="FFFFFF"/>
            <w:vAlign w:val="center"/>
            <w:hideMark/>
          </w:tcPr>
          <w:p w14:paraId="0DAB8F61"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Cuajimalpa de Morelos</w:t>
            </w:r>
          </w:p>
        </w:tc>
        <w:tc>
          <w:tcPr>
            <w:tcW w:w="850" w:type="dxa"/>
            <w:tcBorders>
              <w:top w:val="nil"/>
              <w:left w:val="nil"/>
              <w:bottom w:val="single" w:sz="4" w:space="0" w:color="auto"/>
              <w:right w:val="single" w:sz="4" w:space="0" w:color="auto"/>
            </w:tcBorders>
            <w:shd w:val="clear" w:color="000000" w:fill="BDD7EE"/>
            <w:noWrap/>
            <w:vAlign w:val="center"/>
            <w:hideMark/>
          </w:tcPr>
          <w:p w14:paraId="09A8402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82.28</w:t>
            </w:r>
          </w:p>
        </w:tc>
        <w:tc>
          <w:tcPr>
            <w:tcW w:w="850" w:type="dxa"/>
            <w:tcBorders>
              <w:top w:val="nil"/>
              <w:left w:val="nil"/>
              <w:bottom w:val="single" w:sz="4" w:space="0" w:color="auto"/>
              <w:right w:val="single" w:sz="4" w:space="0" w:color="auto"/>
            </w:tcBorders>
            <w:shd w:val="clear" w:color="000000" w:fill="D9D9D9"/>
            <w:noWrap/>
            <w:vAlign w:val="center"/>
            <w:hideMark/>
          </w:tcPr>
          <w:p w14:paraId="16B0D4D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1.46</w:t>
            </w:r>
          </w:p>
        </w:tc>
        <w:tc>
          <w:tcPr>
            <w:tcW w:w="850" w:type="dxa"/>
            <w:tcBorders>
              <w:top w:val="nil"/>
              <w:left w:val="nil"/>
              <w:bottom w:val="single" w:sz="4" w:space="0" w:color="auto"/>
              <w:right w:val="single" w:sz="4" w:space="0" w:color="auto"/>
            </w:tcBorders>
            <w:shd w:val="clear" w:color="auto" w:fill="auto"/>
            <w:noWrap/>
            <w:vAlign w:val="center"/>
            <w:hideMark/>
          </w:tcPr>
          <w:p w14:paraId="18E1B49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83.73</w:t>
            </w:r>
          </w:p>
        </w:tc>
        <w:tc>
          <w:tcPr>
            <w:tcW w:w="850" w:type="dxa"/>
            <w:tcBorders>
              <w:top w:val="nil"/>
              <w:left w:val="nil"/>
              <w:bottom w:val="single" w:sz="4" w:space="0" w:color="auto"/>
              <w:right w:val="single" w:sz="4" w:space="0" w:color="auto"/>
            </w:tcBorders>
            <w:shd w:val="clear" w:color="000000" w:fill="BDD7EE"/>
            <w:noWrap/>
            <w:vAlign w:val="center"/>
            <w:hideMark/>
          </w:tcPr>
          <w:p w14:paraId="25DABE9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87.99</w:t>
            </w:r>
          </w:p>
        </w:tc>
        <w:tc>
          <w:tcPr>
            <w:tcW w:w="850" w:type="dxa"/>
            <w:tcBorders>
              <w:top w:val="nil"/>
              <w:left w:val="nil"/>
              <w:bottom w:val="single" w:sz="4" w:space="0" w:color="auto"/>
              <w:right w:val="single" w:sz="4" w:space="0" w:color="auto"/>
            </w:tcBorders>
            <w:shd w:val="clear" w:color="000000" w:fill="D9D9D9"/>
            <w:noWrap/>
            <w:vAlign w:val="center"/>
            <w:hideMark/>
          </w:tcPr>
          <w:p w14:paraId="53CE21E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1.35</w:t>
            </w:r>
          </w:p>
        </w:tc>
        <w:tc>
          <w:tcPr>
            <w:tcW w:w="850" w:type="dxa"/>
            <w:tcBorders>
              <w:top w:val="nil"/>
              <w:left w:val="nil"/>
              <w:bottom w:val="single" w:sz="4" w:space="0" w:color="auto"/>
              <w:right w:val="single" w:sz="4" w:space="0" w:color="auto"/>
            </w:tcBorders>
            <w:shd w:val="clear" w:color="auto" w:fill="auto"/>
            <w:noWrap/>
            <w:vAlign w:val="center"/>
            <w:hideMark/>
          </w:tcPr>
          <w:p w14:paraId="25F7C1E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89.34</w:t>
            </w:r>
          </w:p>
        </w:tc>
        <w:tc>
          <w:tcPr>
            <w:tcW w:w="850" w:type="dxa"/>
            <w:tcBorders>
              <w:top w:val="nil"/>
              <w:left w:val="nil"/>
              <w:bottom w:val="single" w:sz="4" w:space="0" w:color="auto"/>
              <w:right w:val="single" w:sz="4" w:space="0" w:color="auto"/>
            </w:tcBorders>
            <w:shd w:val="clear" w:color="000000" w:fill="BDD7EE"/>
            <w:noWrap/>
            <w:vAlign w:val="center"/>
            <w:hideMark/>
          </w:tcPr>
          <w:p w14:paraId="2CD7C2F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85.13</w:t>
            </w:r>
          </w:p>
        </w:tc>
        <w:tc>
          <w:tcPr>
            <w:tcW w:w="850" w:type="dxa"/>
            <w:tcBorders>
              <w:top w:val="nil"/>
              <w:left w:val="nil"/>
              <w:bottom w:val="single" w:sz="4" w:space="0" w:color="auto"/>
              <w:right w:val="single" w:sz="4" w:space="0" w:color="auto"/>
            </w:tcBorders>
            <w:shd w:val="clear" w:color="000000" w:fill="D9D9D9"/>
            <w:noWrap/>
            <w:vAlign w:val="center"/>
            <w:hideMark/>
          </w:tcPr>
          <w:p w14:paraId="6C5E7E9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1.40</w:t>
            </w:r>
          </w:p>
        </w:tc>
        <w:tc>
          <w:tcPr>
            <w:tcW w:w="850" w:type="dxa"/>
            <w:tcBorders>
              <w:top w:val="nil"/>
              <w:left w:val="nil"/>
              <w:bottom w:val="single" w:sz="4" w:space="0" w:color="auto"/>
              <w:right w:val="single" w:sz="4" w:space="0" w:color="auto"/>
            </w:tcBorders>
            <w:shd w:val="clear" w:color="auto" w:fill="auto"/>
            <w:noWrap/>
            <w:vAlign w:val="center"/>
            <w:hideMark/>
          </w:tcPr>
          <w:p w14:paraId="002AC43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86.54</w:t>
            </w:r>
          </w:p>
        </w:tc>
      </w:tr>
      <w:tr w:rsidR="0088258D" w:rsidRPr="00B92499" w14:paraId="250ACBD6"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268475F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11</w:t>
            </w:r>
          </w:p>
        </w:tc>
        <w:tc>
          <w:tcPr>
            <w:tcW w:w="1304" w:type="dxa"/>
            <w:tcBorders>
              <w:top w:val="nil"/>
              <w:left w:val="nil"/>
              <w:bottom w:val="single" w:sz="4" w:space="0" w:color="auto"/>
              <w:right w:val="single" w:sz="4" w:space="0" w:color="auto"/>
            </w:tcBorders>
            <w:shd w:val="clear" w:color="000000" w:fill="FFFFFF"/>
            <w:vAlign w:val="center"/>
            <w:hideMark/>
          </w:tcPr>
          <w:p w14:paraId="42AF106F"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Tlalpan</w:t>
            </w:r>
          </w:p>
        </w:tc>
        <w:tc>
          <w:tcPr>
            <w:tcW w:w="850" w:type="dxa"/>
            <w:tcBorders>
              <w:top w:val="nil"/>
              <w:left w:val="nil"/>
              <w:bottom w:val="single" w:sz="4" w:space="0" w:color="auto"/>
              <w:right w:val="single" w:sz="4" w:space="0" w:color="auto"/>
            </w:tcBorders>
            <w:shd w:val="clear" w:color="000000" w:fill="BDD7EE"/>
            <w:noWrap/>
            <w:vAlign w:val="center"/>
            <w:hideMark/>
          </w:tcPr>
          <w:p w14:paraId="51165BB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84.17</w:t>
            </w:r>
          </w:p>
        </w:tc>
        <w:tc>
          <w:tcPr>
            <w:tcW w:w="850" w:type="dxa"/>
            <w:tcBorders>
              <w:top w:val="nil"/>
              <w:left w:val="nil"/>
              <w:bottom w:val="single" w:sz="4" w:space="0" w:color="auto"/>
              <w:right w:val="single" w:sz="4" w:space="0" w:color="auto"/>
            </w:tcBorders>
            <w:shd w:val="clear" w:color="000000" w:fill="D9D9D9"/>
            <w:noWrap/>
            <w:vAlign w:val="center"/>
            <w:hideMark/>
          </w:tcPr>
          <w:p w14:paraId="61C92E2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0.95</w:t>
            </w:r>
          </w:p>
        </w:tc>
        <w:tc>
          <w:tcPr>
            <w:tcW w:w="850" w:type="dxa"/>
            <w:tcBorders>
              <w:top w:val="nil"/>
              <w:left w:val="nil"/>
              <w:bottom w:val="single" w:sz="4" w:space="0" w:color="auto"/>
              <w:right w:val="single" w:sz="4" w:space="0" w:color="auto"/>
            </w:tcBorders>
            <w:shd w:val="clear" w:color="auto" w:fill="auto"/>
            <w:noWrap/>
            <w:vAlign w:val="center"/>
            <w:hideMark/>
          </w:tcPr>
          <w:p w14:paraId="7DFBA01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85.13</w:t>
            </w:r>
          </w:p>
        </w:tc>
        <w:tc>
          <w:tcPr>
            <w:tcW w:w="850" w:type="dxa"/>
            <w:tcBorders>
              <w:top w:val="nil"/>
              <w:left w:val="nil"/>
              <w:bottom w:val="single" w:sz="4" w:space="0" w:color="auto"/>
              <w:right w:val="single" w:sz="4" w:space="0" w:color="auto"/>
            </w:tcBorders>
            <w:shd w:val="clear" w:color="000000" w:fill="BDD7EE"/>
            <w:noWrap/>
            <w:vAlign w:val="center"/>
            <w:hideMark/>
          </w:tcPr>
          <w:p w14:paraId="3939BF7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84.89</w:t>
            </w:r>
          </w:p>
        </w:tc>
        <w:tc>
          <w:tcPr>
            <w:tcW w:w="850" w:type="dxa"/>
            <w:tcBorders>
              <w:top w:val="nil"/>
              <w:left w:val="nil"/>
              <w:bottom w:val="single" w:sz="4" w:space="0" w:color="auto"/>
              <w:right w:val="single" w:sz="4" w:space="0" w:color="auto"/>
            </w:tcBorders>
            <w:shd w:val="clear" w:color="000000" w:fill="D9D9D9"/>
            <w:noWrap/>
            <w:vAlign w:val="center"/>
            <w:hideMark/>
          </w:tcPr>
          <w:p w14:paraId="77721C4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0.10</w:t>
            </w:r>
          </w:p>
        </w:tc>
        <w:tc>
          <w:tcPr>
            <w:tcW w:w="850" w:type="dxa"/>
            <w:tcBorders>
              <w:top w:val="nil"/>
              <w:left w:val="nil"/>
              <w:bottom w:val="single" w:sz="4" w:space="0" w:color="auto"/>
              <w:right w:val="single" w:sz="4" w:space="0" w:color="auto"/>
            </w:tcBorders>
            <w:shd w:val="clear" w:color="auto" w:fill="auto"/>
            <w:noWrap/>
            <w:vAlign w:val="center"/>
            <w:hideMark/>
          </w:tcPr>
          <w:p w14:paraId="6FB4B66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84.99</w:t>
            </w:r>
          </w:p>
        </w:tc>
        <w:tc>
          <w:tcPr>
            <w:tcW w:w="850" w:type="dxa"/>
            <w:tcBorders>
              <w:top w:val="nil"/>
              <w:left w:val="nil"/>
              <w:bottom w:val="single" w:sz="4" w:space="0" w:color="auto"/>
              <w:right w:val="single" w:sz="4" w:space="0" w:color="auto"/>
            </w:tcBorders>
            <w:shd w:val="clear" w:color="000000" w:fill="BDD7EE"/>
            <w:noWrap/>
            <w:vAlign w:val="center"/>
            <w:hideMark/>
          </w:tcPr>
          <w:p w14:paraId="02C64DC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84.53</w:t>
            </w:r>
          </w:p>
        </w:tc>
        <w:tc>
          <w:tcPr>
            <w:tcW w:w="850" w:type="dxa"/>
            <w:tcBorders>
              <w:top w:val="nil"/>
              <w:left w:val="nil"/>
              <w:bottom w:val="single" w:sz="4" w:space="0" w:color="auto"/>
              <w:right w:val="single" w:sz="4" w:space="0" w:color="auto"/>
            </w:tcBorders>
            <w:shd w:val="clear" w:color="000000" w:fill="D9D9D9"/>
            <w:noWrap/>
            <w:vAlign w:val="center"/>
            <w:hideMark/>
          </w:tcPr>
          <w:p w14:paraId="0CA2CCB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0.52</w:t>
            </w:r>
          </w:p>
        </w:tc>
        <w:tc>
          <w:tcPr>
            <w:tcW w:w="850" w:type="dxa"/>
            <w:tcBorders>
              <w:top w:val="nil"/>
              <w:left w:val="nil"/>
              <w:bottom w:val="single" w:sz="4" w:space="0" w:color="auto"/>
              <w:right w:val="single" w:sz="4" w:space="0" w:color="auto"/>
            </w:tcBorders>
            <w:shd w:val="clear" w:color="auto" w:fill="auto"/>
            <w:noWrap/>
            <w:vAlign w:val="center"/>
            <w:hideMark/>
          </w:tcPr>
          <w:p w14:paraId="5C9396B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85.06</w:t>
            </w:r>
          </w:p>
        </w:tc>
      </w:tr>
      <w:tr w:rsidR="0088258D" w:rsidRPr="00B92499" w14:paraId="54EC774F"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2A3A8C9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12</w:t>
            </w:r>
          </w:p>
        </w:tc>
        <w:tc>
          <w:tcPr>
            <w:tcW w:w="1304" w:type="dxa"/>
            <w:tcBorders>
              <w:top w:val="nil"/>
              <w:left w:val="nil"/>
              <w:bottom w:val="single" w:sz="4" w:space="0" w:color="auto"/>
              <w:right w:val="single" w:sz="4" w:space="0" w:color="auto"/>
            </w:tcBorders>
            <w:shd w:val="clear" w:color="000000" w:fill="FFFFFF"/>
            <w:vAlign w:val="center"/>
            <w:hideMark/>
          </w:tcPr>
          <w:p w14:paraId="23311B88"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Iztacalco</w:t>
            </w:r>
          </w:p>
        </w:tc>
        <w:tc>
          <w:tcPr>
            <w:tcW w:w="850" w:type="dxa"/>
            <w:tcBorders>
              <w:top w:val="nil"/>
              <w:left w:val="nil"/>
              <w:bottom w:val="single" w:sz="4" w:space="0" w:color="auto"/>
              <w:right w:val="single" w:sz="4" w:space="0" w:color="auto"/>
            </w:tcBorders>
            <w:shd w:val="clear" w:color="000000" w:fill="BDD7EE"/>
            <w:noWrap/>
            <w:vAlign w:val="center"/>
            <w:hideMark/>
          </w:tcPr>
          <w:p w14:paraId="2DFA089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82.71</w:t>
            </w:r>
          </w:p>
        </w:tc>
        <w:tc>
          <w:tcPr>
            <w:tcW w:w="850" w:type="dxa"/>
            <w:tcBorders>
              <w:top w:val="nil"/>
              <w:left w:val="nil"/>
              <w:bottom w:val="single" w:sz="4" w:space="0" w:color="auto"/>
              <w:right w:val="single" w:sz="4" w:space="0" w:color="auto"/>
            </w:tcBorders>
            <w:shd w:val="clear" w:color="000000" w:fill="D9D9D9"/>
            <w:noWrap/>
            <w:vAlign w:val="center"/>
            <w:hideMark/>
          </w:tcPr>
          <w:p w14:paraId="6C28A76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0.81</w:t>
            </w:r>
          </w:p>
        </w:tc>
        <w:tc>
          <w:tcPr>
            <w:tcW w:w="850" w:type="dxa"/>
            <w:tcBorders>
              <w:top w:val="nil"/>
              <w:left w:val="nil"/>
              <w:bottom w:val="single" w:sz="4" w:space="0" w:color="auto"/>
              <w:right w:val="single" w:sz="4" w:space="0" w:color="auto"/>
            </w:tcBorders>
            <w:shd w:val="clear" w:color="auto" w:fill="auto"/>
            <w:noWrap/>
            <w:vAlign w:val="center"/>
            <w:hideMark/>
          </w:tcPr>
          <w:p w14:paraId="6EAB01B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83.52</w:t>
            </w:r>
          </w:p>
        </w:tc>
        <w:tc>
          <w:tcPr>
            <w:tcW w:w="850" w:type="dxa"/>
            <w:tcBorders>
              <w:top w:val="nil"/>
              <w:left w:val="nil"/>
              <w:bottom w:val="single" w:sz="4" w:space="0" w:color="auto"/>
              <w:right w:val="single" w:sz="4" w:space="0" w:color="auto"/>
            </w:tcBorders>
            <w:shd w:val="clear" w:color="000000" w:fill="BDD7EE"/>
            <w:noWrap/>
            <w:vAlign w:val="center"/>
            <w:hideMark/>
          </w:tcPr>
          <w:p w14:paraId="316EC27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83.56</w:t>
            </w:r>
          </w:p>
        </w:tc>
        <w:tc>
          <w:tcPr>
            <w:tcW w:w="850" w:type="dxa"/>
            <w:tcBorders>
              <w:top w:val="nil"/>
              <w:left w:val="nil"/>
              <w:bottom w:val="single" w:sz="4" w:space="0" w:color="auto"/>
              <w:right w:val="single" w:sz="4" w:space="0" w:color="auto"/>
            </w:tcBorders>
            <w:shd w:val="clear" w:color="000000" w:fill="D9D9D9"/>
            <w:noWrap/>
            <w:vAlign w:val="center"/>
            <w:hideMark/>
          </w:tcPr>
          <w:p w14:paraId="012662F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1.04</w:t>
            </w:r>
          </w:p>
        </w:tc>
        <w:tc>
          <w:tcPr>
            <w:tcW w:w="850" w:type="dxa"/>
            <w:tcBorders>
              <w:top w:val="nil"/>
              <w:left w:val="nil"/>
              <w:bottom w:val="single" w:sz="4" w:space="0" w:color="auto"/>
              <w:right w:val="single" w:sz="4" w:space="0" w:color="auto"/>
            </w:tcBorders>
            <w:shd w:val="clear" w:color="auto" w:fill="auto"/>
            <w:noWrap/>
            <w:vAlign w:val="center"/>
            <w:hideMark/>
          </w:tcPr>
          <w:p w14:paraId="38AF3F26"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84.60</w:t>
            </w:r>
          </w:p>
        </w:tc>
        <w:tc>
          <w:tcPr>
            <w:tcW w:w="850" w:type="dxa"/>
            <w:tcBorders>
              <w:top w:val="nil"/>
              <w:left w:val="nil"/>
              <w:bottom w:val="single" w:sz="4" w:space="0" w:color="auto"/>
              <w:right w:val="single" w:sz="4" w:space="0" w:color="auto"/>
            </w:tcBorders>
            <w:shd w:val="clear" w:color="000000" w:fill="BDD7EE"/>
            <w:noWrap/>
            <w:vAlign w:val="center"/>
            <w:hideMark/>
          </w:tcPr>
          <w:p w14:paraId="36166F1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83.13</w:t>
            </w:r>
          </w:p>
        </w:tc>
        <w:tc>
          <w:tcPr>
            <w:tcW w:w="850" w:type="dxa"/>
            <w:tcBorders>
              <w:top w:val="nil"/>
              <w:left w:val="nil"/>
              <w:bottom w:val="single" w:sz="4" w:space="0" w:color="auto"/>
              <w:right w:val="single" w:sz="4" w:space="0" w:color="auto"/>
            </w:tcBorders>
            <w:shd w:val="clear" w:color="000000" w:fill="D9D9D9"/>
            <w:noWrap/>
            <w:vAlign w:val="center"/>
            <w:hideMark/>
          </w:tcPr>
          <w:p w14:paraId="15B0CC4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0.93</w:t>
            </w:r>
          </w:p>
        </w:tc>
        <w:tc>
          <w:tcPr>
            <w:tcW w:w="850" w:type="dxa"/>
            <w:tcBorders>
              <w:top w:val="nil"/>
              <w:left w:val="nil"/>
              <w:bottom w:val="single" w:sz="4" w:space="0" w:color="auto"/>
              <w:right w:val="single" w:sz="4" w:space="0" w:color="auto"/>
            </w:tcBorders>
            <w:shd w:val="clear" w:color="auto" w:fill="auto"/>
            <w:noWrap/>
            <w:vAlign w:val="center"/>
            <w:hideMark/>
          </w:tcPr>
          <w:p w14:paraId="3A9A84F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84.06</w:t>
            </w:r>
          </w:p>
        </w:tc>
      </w:tr>
      <w:tr w:rsidR="0088258D" w:rsidRPr="00B92499" w14:paraId="6112F0E3"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EAA01A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13</w:t>
            </w:r>
          </w:p>
        </w:tc>
        <w:tc>
          <w:tcPr>
            <w:tcW w:w="1304" w:type="dxa"/>
            <w:tcBorders>
              <w:top w:val="nil"/>
              <w:left w:val="nil"/>
              <w:bottom w:val="single" w:sz="4" w:space="0" w:color="auto"/>
              <w:right w:val="single" w:sz="4" w:space="0" w:color="auto"/>
            </w:tcBorders>
            <w:shd w:val="clear" w:color="000000" w:fill="FFFFFF"/>
            <w:vAlign w:val="center"/>
            <w:hideMark/>
          </w:tcPr>
          <w:p w14:paraId="2B0DD8A8"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Álvaro Obregón</w:t>
            </w:r>
          </w:p>
        </w:tc>
        <w:tc>
          <w:tcPr>
            <w:tcW w:w="850" w:type="dxa"/>
            <w:tcBorders>
              <w:top w:val="nil"/>
              <w:left w:val="nil"/>
              <w:bottom w:val="single" w:sz="4" w:space="0" w:color="auto"/>
              <w:right w:val="single" w:sz="4" w:space="0" w:color="auto"/>
            </w:tcBorders>
            <w:shd w:val="clear" w:color="000000" w:fill="BDD7EE"/>
            <w:noWrap/>
            <w:vAlign w:val="center"/>
            <w:hideMark/>
          </w:tcPr>
          <w:p w14:paraId="4D3D63F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78.25</w:t>
            </w:r>
          </w:p>
        </w:tc>
        <w:tc>
          <w:tcPr>
            <w:tcW w:w="850" w:type="dxa"/>
            <w:tcBorders>
              <w:top w:val="nil"/>
              <w:left w:val="nil"/>
              <w:bottom w:val="single" w:sz="4" w:space="0" w:color="auto"/>
              <w:right w:val="single" w:sz="4" w:space="0" w:color="auto"/>
            </w:tcBorders>
            <w:shd w:val="clear" w:color="000000" w:fill="D9D9D9"/>
            <w:noWrap/>
            <w:vAlign w:val="center"/>
            <w:hideMark/>
          </w:tcPr>
          <w:p w14:paraId="4731111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4.74</w:t>
            </w:r>
          </w:p>
        </w:tc>
        <w:tc>
          <w:tcPr>
            <w:tcW w:w="850" w:type="dxa"/>
            <w:tcBorders>
              <w:top w:val="nil"/>
              <w:left w:val="nil"/>
              <w:bottom w:val="single" w:sz="4" w:space="0" w:color="auto"/>
              <w:right w:val="single" w:sz="4" w:space="0" w:color="auto"/>
            </w:tcBorders>
            <w:shd w:val="clear" w:color="auto" w:fill="auto"/>
            <w:noWrap/>
            <w:vAlign w:val="center"/>
            <w:hideMark/>
          </w:tcPr>
          <w:p w14:paraId="406A4E3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82.99</w:t>
            </w:r>
          </w:p>
        </w:tc>
        <w:tc>
          <w:tcPr>
            <w:tcW w:w="850" w:type="dxa"/>
            <w:tcBorders>
              <w:top w:val="nil"/>
              <w:left w:val="nil"/>
              <w:bottom w:val="single" w:sz="4" w:space="0" w:color="auto"/>
              <w:right w:val="single" w:sz="4" w:space="0" w:color="auto"/>
            </w:tcBorders>
            <w:shd w:val="clear" w:color="000000" w:fill="BDD7EE"/>
            <w:noWrap/>
            <w:vAlign w:val="center"/>
            <w:hideMark/>
          </w:tcPr>
          <w:p w14:paraId="4947752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78.74</w:t>
            </w:r>
          </w:p>
        </w:tc>
        <w:tc>
          <w:tcPr>
            <w:tcW w:w="850" w:type="dxa"/>
            <w:tcBorders>
              <w:top w:val="nil"/>
              <w:left w:val="nil"/>
              <w:bottom w:val="single" w:sz="4" w:space="0" w:color="auto"/>
              <w:right w:val="single" w:sz="4" w:space="0" w:color="auto"/>
            </w:tcBorders>
            <w:shd w:val="clear" w:color="000000" w:fill="D9D9D9"/>
            <w:noWrap/>
            <w:vAlign w:val="center"/>
            <w:hideMark/>
          </w:tcPr>
          <w:p w14:paraId="5566964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6.20</w:t>
            </w:r>
          </w:p>
        </w:tc>
        <w:tc>
          <w:tcPr>
            <w:tcW w:w="850" w:type="dxa"/>
            <w:tcBorders>
              <w:top w:val="nil"/>
              <w:left w:val="nil"/>
              <w:bottom w:val="single" w:sz="4" w:space="0" w:color="auto"/>
              <w:right w:val="single" w:sz="4" w:space="0" w:color="auto"/>
            </w:tcBorders>
            <w:shd w:val="clear" w:color="auto" w:fill="auto"/>
            <w:noWrap/>
            <w:vAlign w:val="center"/>
            <w:hideMark/>
          </w:tcPr>
          <w:p w14:paraId="5BA05A0A"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84.94</w:t>
            </w:r>
          </w:p>
        </w:tc>
        <w:tc>
          <w:tcPr>
            <w:tcW w:w="850" w:type="dxa"/>
            <w:tcBorders>
              <w:top w:val="nil"/>
              <w:left w:val="nil"/>
              <w:bottom w:val="single" w:sz="4" w:space="0" w:color="auto"/>
              <w:right w:val="single" w:sz="4" w:space="0" w:color="auto"/>
            </w:tcBorders>
            <w:shd w:val="clear" w:color="000000" w:fill="BDD7EE"/>
            <w:noWrap/>
            <w:vAlign w:val="center"/>
            <w:hideMark/>
          </w:tcPr>
          <w:p w14:paraId="31AB249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78.49</w:t>
            </w:r>
          </w:p>
        </w:tc>
        <w:tc>
          <w:tcPr>
            <w:tcW w:w="850" w:type="dxa"/>
            <w:tcBorders>
              <w:top w:val="nil"/>
              <w:left w:val="nil"/>
              <w:bottom w:val="single" w:sz="4" w:space="0" w:color="auto"/>
              <w:right w:val="single" w:sz="4" w:space="0" w:color="auto"/>
            </w:tcBorders>
            <w:shd w:val="clear" w:color="000000" w:fill="D9D9D9"/>
            <w:noWrap/>
            <w:vAlign w:val="center"/>
            <w:hideMark/>
          </w:tcPr>
          <w:p w14:paraId="0DA6E74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5.47</w:t>
            </w:r>
          </w:p>
        </w:tc>
        <w:tc>
          <w:tcPr>
            <w:tcW w:w="850" w:type="dxa"/>
            <w:tcBorders>
              <w:top w:val="nil"/>
              <w:left w:val="nil"/>
              <w:bottom w:val="single" w:sz="4" w:space="0" w:color="auto"/>
              <w:right w:val="single" w:sz="4" w:space="0" w:color="auto"/>
            </w:tcBorders>
            <w:shd w:val="clear" w:color="auto" w:fill="auto"/>
            <w:noWrap/>
            <w:vAlign w:val="center"/>
            <w:hideMark/>
          </w:tcPr>
          <w:p w14:paraId="5704754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83.96</w:t>
            </w:r>
          </w:p>
        </w:tc>
      </w:tr>
      <w:tr w:rsidR="0088258D" w:rsidRPr="00B92499" w14:paraId="2D9CC3EB"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2EB03019"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14</w:t>
            </w:r>
          </w:p>
        </w:tc>
        <w:tc>
          <w:tcPr>
            <w:tcW w:w="1304" w:type="dxa"/>
            <w:tcBorders>
              <w:top w:val="nil"/>
              <w:left w:val="nil"/>
              <w:bottom w:val="single" w:sz="4" w:space="0" w:color="auto"/>
              <w:right w:val="single" w:sz="4" w:space="0" w:color="auto"/>
            </w:tcBorders>
            <w:shd w:val="clear" w:color="000000" w:fill="FFFFFF"/>
            <w:vAlign w:val="center"/>
            <w:hideMark/>
          </w:tcPr>
          <w:p w14:paraId="3831FDAF"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Benito Juárez</w:t>
            </w:r>
          </w:p>
        </w:tc>
        <w:tc>
          <w:tcPr>
            <w:tcW w:w="850" w:type="dxa"/>
            <w:tcBorders>
              <w:top w:val="nil"/>
              <w:left w:val="nil"/>
              <w:bottom w:val="single" w:sz="4" w:space="0" w:color="auto"/>
              <w:right w:val="single" w:sz="4" w:space="0" w:color="auto"/>
            </w:tcBorders>
            <w:shd w:val="clear" w:color="000000" w:fill="BDD7EE"/>
            <w:noWrap/>
            <w:vAlign w:val="center"/>
            <w:hideMark/>
          </w:tcPr>
          <w:p w14:paraId="70DDEAC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62.49</w:t>
            </w:r>
          </w:p>
        </w:tc>
        <w:tc>
          <w:tcPr>
            <w:tcW w:w="850" w:type="dxa"/>
            <w:tcBorders>
              <w:top w:val="nil"/>
              <w:left w:val="nil"/>
              <w:bottom w:val="single" w:sz="4" w:space="0" w:color="auto"/>
              <w:right w:val="single" w:sz="4" w:space="0" w:color="auto"/>
            </w:tcBorders>
            <w:shd w:val="clear" w:color="000000" w:fill="D9D9D9"/>
            <w:noWrap/>
            <w:vAlign w:val="center"/>
            <w:hideMark/>
          </w:tcPr>
          <w:p w14:paraId="0C85BE9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0.62</w:t>
            </w:r>
          </w:p>
        </w:tc>
        <w:tc>
          <w:tcPr>
            <w:tcW w:w="850" w:type="dxa"/>
            <w:tcBorders>
              <w:top w:val="nil"/>
              <w:left w:val="nil"/>
              <w:bottom w:val="single" w:sz="4" w:space="0" w:color="auto"/>
              <w:right w:val="single" w:sz="4" w:space="0" w:color="auto"/>
            </w:tcBorders>
            <w:shd w:val="clear" w:color="auto" w:fill="auto"/>
            <w:noWrap/>
            <w:vAlign w:val="center"/>
            <w:hideMark/>
          </w:tcPr>
          <w:p w14:paraId="01ECC9E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63.11</w:t>
            </w:r>
          </w:p>
        </w:tc>
        <w:tc>
          <w:tcPr>
            <w:tcW w:w="850" w:type="dxa"/>
            <w:tcBorders>
              <w:top w:val="nil"/>
              <w:left w:val="nil"/>
              <w:bottom w:val="single" w:sz="4" w:space="0" w:color="auto"/>
              <w:right w:val="single" w:sz="4" w:space="0" w:color="auto"/>
            </w:tcBorders>
            <w:shd w:val="clear" w:color="000000" w:fill="BDD7EE"/>
            <w:noWrap/>
            <w:vAlign w:val="center"/>
            <w:hideMark/>
          </w:tcPr>
          <w:p w14:paraId="740939E3"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88.76</w:t>
            </w:r>
          </w:p>
        </w:tc>
        <w:tc>
          <w:tcPr>
            <w:tcW w:w="850" w:type="dxa"/>
            <w:tcBorders>
              <w:top w:val="nil"/>
              <w:left w:val="nil"/>
              <w:bottom w:val="single" w:sz="4" w:space="0" w:color="auto"/>
              <w:right w:val="single" w:sz="4" w:space="0" w:color="auto"/>
            </w:tcBorders>
            <w:shd w:val="clear" w:color="000000" w:fill="D9D9D9"/>
            <w:noWrap/>
            <w:vAlign w:val="center"/>
            <w:hideMark/>
          </w:tcPr>
          <w:p w14:paraId="20FEBD6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1.89</w:t>
            </w:r>
          </w:p>
        </w:tc>
        <w:tc>
          <w:tcPr>
            <w:tcW w:w="850" w:type="dxa"/>
            <w:tcBorders>
              <w:top w:val="nil"/>
              <w:left w:val="nil"/>
              <w:bottom w:val="single" w:sz="4" w:space="0" w:color="auto"/>
              <w:right w:val="single" w:sz="4" w:space="0" w:color="auto"/>
            </w:tcBorders>
            <w:shd w:val="clear" w:color="auto" w:fill="auto"/>
            <w:noWrap/>
            <w:vAlign w:val="center"/>
            <w:hideMark/>
          </w:tcPr>
          <w:p w14:paraId="67B57754"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90.64</w:t>
            </w:r>
          </w:p>
        </w:tc>
        <w:tc>
          <w:tcPr>
            <w:tcW w:w="850" w:type="dxa"/>
            <w:tcBorders>
              <w:top w:val="nil"/>
              <w:left w:val="nil"/>
              <w:bottom w:val="single" w:sz="4" w:space="0" w:color="auto"/>
              <w:right w:val="single" w:sz="4" w:space="0" w:color="auto"/>
            </w:tcBorders>
            <w:shd w:val="clear" w:color="000000" w:fill="BDD7EE"/>
            <w:noWrap/>
            <w:vAlign w:val="center"/>
            <w:hideMark/>
          </w:tcPr>
          <w:p w14:paraId="37AFB9F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75.62</w:t>
            </w:r>
          </w:p>
        </w:tc>
        <w:tc>
          <w:tcPr>
            <w:tcW w:w="850" w:type="dxa"/>
            <w:tcBorders>
              <w:top w:val="nil"/>
              <w:left w:val="nil"/>
              <w:bottom w:val="single" w:sz="4" w:space="0" w:color="auto"/>
              <w:right w:val="single" w:sz="4" w:space="0" w:color="auto"/>
            </w:tcBorders>
            <w:shd w:val="clear" w:color="000000" w:fill="D9D9D9"/>
            <w:noWrap/>
            <w:vAlign w:val="center"/>
            <w:hideMark/>
          </w:tcPr>
          <w:p w14:paraId="6B7E1A8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1.25</w:t>
            </w:r>
          </w:p>
        </w:tc>
        <w:tc>
          <w:tcPr>
            <w:tcW w:w="850" w:type="dxa"/>
            <w:tcBorders>
              <w:top w:val="nil"/>
              <w:left w:val="nil"/>
              <w:bottom w:val="single" w:sz="4" w:space="0" w:color="auto"/>
              <w:right w:val="single" w:sz="4" w:space="0" w:color="auto"/>
            </w:tcBorders>
            <w:shd w:val="clear" w:color="auto" w:fill="auto"/>
            <w:noWrap/>
            <w:vAlign w:val="center"/>
            <w:hideMark/>
          </w:tcPr>
          <w:p w14:paraId="5FCBEF0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76.88</w:t>
            </w:r>
          </w:p>
        </w:tc>
      </w:tr>
      <w:tr w:rsidR="0088258D" w:rsidRPr="00B92499" w14:paraId="260E0D2B"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7214DDF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15</w:t>
            </w:r>
          </w:p>
        </w:tc>
        <w:tc>
          <w:tcPr>
            <w:tcW w:w="1304" w:type="dxa"/>
            <w:tcBorders>
              <w:top w:val="nil"/>
              <w:left w:val="nil"/>
              <w:bottom w:val="single" w:sz="4" w:space="0" w:color="auto"/>
              <w:right w:val="single" w:sz="4" w:space="0" w:color="auto"/>
            </w:tcBorders>
            <w:shd w:val="clear" w:color="000000" w:fill="FFFFFF"/>
            <w:vAlign w:val="center"/>
            <w:hideMark/>
          </w:tcPr>
          <w:p w14:paraId="25936302"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Coyoacán</w:t>
            </w:r>
          </w:p>
        </w:tc>
        <w:tc>
          <w:tcPr>
            <w:tcW w:w="850" w:type="dxa"/>
            <w:tcBorders>
              <w:top w:val="nil"/>
              <w:left w:val="nil"/>
              <w:bottom w:val="single" w:sz="4" w:space="0" w:color="auto"/>
              <w:right w:val="single" w:sz="4" w:space="0" w:color="auto"/>
            </w:tcBorders>
            <w:shd w:val="clear" w:color="000000" w:fill="BDD7EE"/>
            <w:noWrap/>
            <w:vAlign w:val="center"/>
            <w:hideMark/>
          </w:tcPr>
          <w:p w14:paraId="224A1254"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63.67</w:t>
            </w:r>
          </w:p>
        </w:tc>
        <w:tc>
          <w:tcPr>
            <w:tcW w:w="850" w:type="dxa"/>
            <w:tcBorders>
              <w:top w:val="nil"/>
              <w:left w:val="nil"/>
              <w:bottom w:val="single" w:sz="4" w:space="0" w:color="auto"/>
              <w:right w:val="single" w:sz="4" w:space="0" w:color="auto"/>
            </w:tcBorders>
            <w:shd w:val="clear" w:color="000000" w:fill="D9D9D9"/>
            <w:noWrap/>
            <w:vAlign w:val="center"/>
            <w:hideMark/>
          </w:tcPr>
          <w:p w14:paraId="0EADE8C0"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40C6C51F"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65.17</w:t>
            </w:r>
          </w:p>
        </w:tc>
        <w:tc>
          <w:tcPr>
            <w:tcW w:w="850" w:type="dxa"/>
            <w:tcBorders>
              <w:top w:val="nil"/>
              <w:left w:val="nil"/>
              <w:bottom w:val="single" w:sz="4" w:space="0" w:color="auto"/>
              <w:right w:val="single" w:sz="4" w:space="0" w:color="auto"/>
            </w:tcBorders>
            <w:shd w:val="clear" w:color="000000" w:fill="BDD7EE"/>
            <w:noWrap/>
            <w:vAlign w:val="center"/>
            <w:hideMark/>
          </w:tcPr>
          <w:p w14:paraId="2485190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71.16</w:t>
            </w:r>
          </w:p>
        </w:tc>
        <w:tc>
          <w:tcPr>
            <w:tcW w:w="850" w:type="dxa"/>
            <w:tcBorders>
              <w:top w:val="nil"/>
              <w:left w:val="nil"/>
              <w:bottom w:val="single" w:sz="4" w:space="0" w:color="auto"/>
              <w:right w:val="single" w:sz="4" w:space="0" w:color="auto"/>
            </w:tcBorders>
            <w:shd w:val="clear" w:color="000000" w:fill="D9D9D9"/>
            <w:noWrap/>
            <w:vAlign w:val="center"/>
            <w:hideMark/>
          </w:tcPr>
          <w:p w14:paraId="211D97BB"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07529C4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72.66</w:t>
            </w:r>
          </w:p>
        </w:tc>
        <w:tc>
          <w:tcPr>
            <w:tcW w:w="850" w:type="dxa"/>
            <w:tcBorders>
              <w:top w:val="nil"/>
              <w:left w:val="nil"/>
              <w:bottom w:val="single" w:sz="4" w:space="0" w:color="auto"/>
              <w:right w:val="single" w:sz="4" w:space="0" w:color="auto"/>
            </w:tcBorders>
            <w:shd w:val="clear" w:color="000000" w:fill="BDD7EE"/>
            <w:noWrap/>
            <w:vAlign w:val="center"/>
            <w:hideMark/>
          </w:tcPr>
          <w:p w14:paraId="0742243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67.41</w:t>
            </w:r>
          </w:p>
        </w:tc>
        <w:tc>
          <w:tcPr>
            <w:tcW w:w="850" w:type="dxa"/>
            <w:tcBorders>
              <w:top w:val="nil"/>
              <w:left w:val="nil"/>
              <w:bottom w:val="single" w:sz="4" w:space="0" w:color="auto"/>
              <w:right w:val="single" w:sz="4" w:space="0" w:color="auto"/>
            </w:tcBorders>
            <w:shd w:val="clear" w:color="000000" w:fill="D9D9D9"/>
            <w:noWrap/>
            <w:vAlign w:val="center"/>
            <w:hideMark/>
          </w:tcPr>
          <w:p w14:paraId="0F7506D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1.50</w:t>
            </w:r>
          </w:p>
        </w:tc>
        <w:tc>
          <w:tcPr>
            <w:tcW w:w="850" w:type="dxa"/>
            <w:tcBorders>
              <w:top w:val="nil"/>
              <w:left w:val="nil"/>
              <w:bottom w:val="single" w:sz="4" w:space="0" w:color="auto"/>
              <w:right w:val="single" w:sz="4" w:space="0" w:color="auto"/>
            </w:tcBorders>
            <w:shd w:val="clear" w:color="auto" w:fill="auto"/>
            <w:noWrap/>
            <w:vAlign w:val="center"/>
            <w:hideMark/>
          </w:tcPr>
          <w:p w14:paraId="17940EF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68.91</w:t>
            </w:r>
          </w:p>
        </w:tc>
      </w:tr>
      <w:tr w:rsidR="0088258D" w:rsidRPr="00B92499" w14:paraId="3E54C98E" w14:textId="77777777" w:rsidTr="00027F6E">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41BE764"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16</w:t>
            </w:r>
          </w:p>
        </w:tc>
        <w:tc>
          <w:tcPr>
            <w:tcW w:w="1304" w:type="dxa"/>
            <w:tcBorders>
              <w:top w:val="nil"/>
              <w:left w:val="nil"/>
              <w:bottom w:val="single" w:sz="4" w:space="0" w:color="auto"/>
              <w:right w:val="single" w:sz="4" w:space="0" w:color="auto"/>
            </w:tcBorders>
            <w:shd w:val="clear" w:color="000000" w:fill="FFFFFF"/>
            <w:vAlign w:val="center"/>
            <w:hideMark/>
          </w:tcPr>
          <w:p w14:paraId="3D88A6B8" w14:textId="77777777" w:rsidR="0088258D" w:rsidRPr="00B92499" w:rsidRDefault="0088258D" w:rsidP="0088258D">
            <w:pPr>
              <w:rPr>
                <w:rFonts w:ascii="Arial" w:hAnsi="Arial" w:cs="Arial"/>
                <w:color w:val="000000"/>
                <w:sz w:val="16"/>
                <w:szCs w:val="16"/>
              </w:rPr>
            </w:pPr>
            <w:r w:rsidRPr="00B92499">
              <w:rPr>
                <w:rFonts w:ascii="Arial" w:hAnsi="Arial" w:cs="Arial"/>
                <w:color w:val="000000"/>
                <w:sz w:val="16"/>
                <w:szCs w:val="16"/>
              </w:rPr>
              <w:t>Alcaldía Xochimilco</w:t>
            </w:r>
          </w:p>
        </w:tc>
        <w:tc>
          <w:tcPr>
            <w:tcW w:w="850" w:type="dxa"/>
            <w:tcBorders>
              <w:top w:val="nil"/>
              <w:left w:val="nil"/>
              <w:bottom w:val="single" w:sz="4" w:space="0" w:color="auto"/>
              <w:right w:val="single" w:sz="4" w:space="0" w:color="auto"/>
            </w:tcBorders>
            <w:shd w:val="clear" w:color="000000" w:fill="BDD7EE"/>
            <w:noWrap/>
            <w:vAlign w:val="center"/>
            <w:hideMark/>
          </w:tcPr>
          <w:p w14:paraId="3E70ADF2"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40.29</w:t>
            </w:r>
          </w:p>
        </w:tc>
        <w:tc>
          <w:tcPr>
            <w:tcW w:w="850" w:type="dxa"/>
            <w:tcBorders>
              <w:top w:val="nil"/>
              <w:left w:val="nil"/>
              <w:bottom w:val="single" w:sz="4" w:space="0" w:color="auto"/>
              <w:right w:val="single" w:sz="4" w:space="0" w:color="auto"/>
            </w:tcBorders>
            <w:shd w:val="clear" w:color="000000" w:fill="D9D9D9"/>
            <w:noWrap/>
            <w:vAlign w:val="center"/>
            <w:hideMark/>
          </w:tcPr>
          <w:p w14:paraId="03CDF33C"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-0.07</w:t>
            </w:r>
          </w:p>
        </w:tc>
        <w:tc>
          <w:tcPr>
            <w:tcW w:w="850" w:type="dxa"/>
            <w:tcBorders>
              <w:top w:val="nil"/>
              <w:left w:val="nil"/>
              <w:bottom w:val="single" w:sz="4" w:space="0" w:color="auto"/>
              <w:right w:val="single" w:sz="4" w:space="0" w:color="auto"/>
            </w:tcBorders>
            <w:shd w:val="clear" w:color="auto" w:fill="auto"/>
            <w:noWrap/>
            <w:vAlign w:val="center"/>
            <w:hideMark/>
          </w:tcPr>
          <w:p w14:paraId="0EF901DE"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40.23</w:t>
            </w:r>
          </w:p>
        </w:tc>
        <w:tc>
          <w:tcPr>
            <w:tcW w:w="850" w:type="dxa"/>
            <w:tcBorders>
              <w:top w:val="nil"/>
              <w:left w:val="nil"/>
              <w:bottom w:val="single" w:sz="4" w:space="0" w:color="auto"/>
              <w:right w:val="single" w:sz="4" w:space="0" w:color="auto"/>
            </w:tcBorders>
            <w:shd w:val="clear" w:color="000000" w:fill="BDD7EE"/>
            <w:noWrap/>
            <w:vAlign w:val="center"/>
            <w:hideMark/>
          </w:tcPr>
          <w:p w14:paraId="01C9568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77.62</w:t>
            </w:r>
          </w:p>
        </w:tc>
        <w:tc>
          <w:tcPr>
            <w:tcW w:w="850" w:type="dxa"/>
            <w:tcBorders>
              <w:top w:val="nil"/>
              <w:left w:val="nil"/>
              <w:bottom w:val="single" w:sz="4" w:space="0" w:color="auto"/>
              <w:right w:val="single" w:sz="4" w:space="0" w:color="auto"/>
            </w:tcBorders>
            <w:shd w:val="clear" w:color="000000" w:fill="D9D9D9"/>
            <w:noWrap/>
            <w:vAlign w:val="center"/>
            <w:hideMark/>
          </w:tcPr>
          <w:p w14:paraId="240A1BD7"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6.94</w:t>
            </w:r>
          </w:p>
        </w:tc>
        <w:tc>
          <w:tcPr>
            <w:tcW w:w="850" w:type="dxa"/>
            <w:tcBorders>
              <w:top w:val="nil"/>
              <w:left w:val="nil"/>
              <w:bottom w:val="single" w:sz="4" w:space="0" w:color="auto"/>
              <w:right w:val="single" w:sz="4" w:space="0" w:color="auto"/>
            </w:tcBorders>
            <w:shd w:val="clear" w:color="auto" w:fill="auto"/>
            <w:noWrap/>
            <w:vAlign w:val="center"/>
            <w:hideMark/>
          </w:tcPr>
          <w:p w14:paraId="32DADEED"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84.56</w:t>
            </w:r>
          </w:p>
        </w:tc>
        <w:tc>
          <w:tcPr>
            <w:tcW w:w="850" w:type="dxa"/>
            <w:tcBorders>
              <w:top w:val="nil"/>
              <w:left w:val="nil"/>
              <w:bottom w:val="single" w:sz="4" w:space="0" w:color="auto"/>
              <w:right w:val="single" w:sz="4" w:space="0" w:color="auto"/>
            </w:tcBorders>
            <w:shd w:val="clear" w:color="000000" w:fill="BDD7EE"/>
            <w:noWrap/>
            <w:vAlign w:val="center"/>
            <w:hideMark/>
          </w:tcPr>
          <w:p w14:paraId="11A6F015"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58.96</w:t>
            </w:r>
          </w:p>
        </w:tc>
        <w:tc>
          <w:tcPr>
            <w:tcW w:w="850" w:type="dxa"/>
            <w:tcBorders>
              <w:top w:val="nil"/>
              <w:left w:val="nil"/>
              <w:bottom w:val="single" w:sz="4" w:space="0" w:color="auto"/>
              <w:right w:val="single" w:sz="4" w:space="0" w:color="auto"/>
            </w:tcBorders>
            <w:shd w:val="clear" w:color="000000" w:fill="D9D9D9"/>
            <w:noWrap/>
            <w:vAlign w:val="center"/>
            <w:hideMark/>
          </w:tcPr>
          <w:p w14:paraId="4C552221"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3.44</w:t>
            </w:r>
          </w:p>
        </w:tc>
        <w:tc>
          <w:tcPr>
            <w:tcW w:w="850" w:type="dxa"/>
            <w:tcBorders>
              <w:top w:val="nil"/>
              <w:left w:val="nil"/>
              <w:bottom w:val="single" w:sz="4" w:space="0" w:color="auto"/>
              <w:right w:val="single" w:sz="4" w:space="0" w:color="auto"/>
            </w:tcBorders>
            <w:shd w:val="clear" w:color="auto" w:fill="auto"/>
            <w:noWrap/>
            <w:vAlign w:val="center"/>
            <w:hideMark/>
          </w:tcPr>
          <w:p w14:paraId="790B3748" w14:textId="77777777" w:rsidR="0088258D" w:rsidRPr="00B92499" w:rsidRDefault="0088258D" w:rsidP="0088258D">
            <w:pPr>
              <w:jc w:val="center"/>
              <w:rPr>
                <w:rFonts w:ascii="Arial" w:hAnsi="Arial" w:cs="Arial"/>
                <w:color w:val="000000"/>
                <w:sz w:val="16"/>
                <w:szCs w:val="16"/>
              </w:rPr>
            </w:pPr>
            <w:r w:rsidRPr="00B92499">
              <w:rPr>
                <w:rFonts w:ascii="Arial" w:hAnsi="Arial" w:cs="Arial"/>
                <w:color w:val="000000"/>
                <w:sz w:val="16"/>
                <w:szCs w:val="16"/>
              </w:rPr>
              <w:t>62.39</w:t>
            </w:r>
          </w:p>
        </w:tc>
      </w:tr>
    </w:tbl>
    <w:p w14:paraId="67CE22CC" w14:textId="77777777" w:rsidR="00735992" w:rsidRPr="00B92499" w:rsidRDefault="00735992" w:rsidP="00735992">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6A19DFF3" w14:textId="77777777" w:rsidR="00735992" w:rsidRPr="00B92499" w:rsidRDefault="00735992" w:rsidP="00735992">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7DB15713" w14:textId="090D2922"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al porcentaje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17666007" w14:textId="7E4B6797"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4D7EA437" w14:textId="6CA71E78"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al porcentaje 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E6EAA40" w14:textId="1EF758DC"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46860BAD" w14:textId="578BE2DA"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PNT: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1F7ACF0E" w14:textId="60AA23E9" w:rsidR="00735992" w:rsidRPr="00B92499" w:rsidRDefault="00735992" w:rsidP="00735992">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5F16F304" w14:textId="77777777" w:rsidR="00535A9F" w:rsidRPr="00B92499" w:rsidRDefault="00535A9F" w:rsidP="002E7D47">
      <w:pPr>
        <w:spacing w:before="100" w:beforeAutospacing="1" w:after="100" w:afterAutospacing="1" w:line="360" w:lineRule="auto"/>
        <w:contextualSpacing/>
        <w:jc w:val="both"/>
        <w:rPr>
          <w:rFonts w:ascii="Arial" w:hAnsi="Arial" w:cs="Arial"/>
          <w:color w:val="000000"/>
          <w:sz w:val="16"/>
          <w:szCs w:val="16"/>
        </w:rPr>
      </w:pPr>
    </w:p>
    <w:p w14:paraId="0E75D665" w14:textId="289CDB44"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la Tabla de Aplicabilidad realizada por la DEAEE del Instituto, las obligaciones que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 Administración Pública Central deben </w:t>
      </w:r>
      <w:r w:rsidRPr="00B92499">
        <w:rPr>
          <w:rFonts w:ascii="Arial" w:hAnsi="Arial" w:cs="Arial"/>
        </w:rPr>
        <w:lastRenderedPageBreak/>
        <w:t xml:space="preserve">actualizar y publicar en el SIPOT de la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59AE906B" w14:textId="7CB25015"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121. Obligaciones comunes</w:t>
      </w:r>
      <w:r w:rsidR="00735992" w:rsidRPr="00B92499">
        <w:rPr>
          <w:rFonts w:ascii="Arial" w:hAnsi="Arial" w:cs="Arial"/>
          <w:sz w:val="24"/>
          <w:szCs w:val="24"/>
          <w:lang w:val="es-ES_tradnl"/>
        </w:rPr>
        <w:t>,</w:t>
      </w:r>
    </w:p>
    <w:p w14:paraId="18E74DC3" w14:textId="5FB739E0"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BC3D51" w:rsidRPr="00B92499">
        <w:rPr>
          <w:rFonts w:ascii="Arial" w:hAnsi="Arial" w:cs="Arial"/>
          <w:sz w:val="24"/>
          <w:szCs w:val="24"/>
          <w:lang w:val="es-ES_tradnl"/>
        </w:rPr>
        <w:t xml:space="preserve"> 122. </w:t>
      </w:r>
      <w:r w:rsidR="00940CBA" w:rsidRPr="00B92499">
        <w:rPr>
          <w:rFonts w:ascii="Arial" w:hAnsi="Arial" w:cs="Arial"/>
          <w:sz w:val="24"/>
          <w:szCs w:val="24"/>
          <w:lang w:val="es-ES_tradnl"/>
        </w:rPr>
        <w:t>Obligaciones comunes que únicamente son aplicables a la Secretaría de Desarrollo Social, Secretaría de Medio Ambiente, Secretaría de Educación, Secretaría de Desarrollo Rural y Equidad para las Comunidades, Secretaría de Ciencia, Tecnología e Innovación y Secretaría de Trabajo y Fomento al Empleo</w:t>
      </w:r>
      <w:r w:rsidR="00735992" w:rsidRPr="00B92499">
        <w:rPr>
          <w:rFonts w:ascii="Arial" w:hAnsi="Arial" w:cs="Arial"/>
          <w:sz w:val="24"/>
          <w:szCs w:val="24"/>
          <w:lang w:val="es-ES_tradnl"/>
        </w:rPr>
        <w:t>,</w:t>
      </w:r>
    </w:p>
    <w:p w14:paraId="7C9EF319" w14:textId="13343725"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124. Obligaciones específicas de los Órganos Políticos Administrativos, Alcaldías o Demarcaciones Territoriales</w:t>
      </w:r>
      <w:r w:rsidR="00735992" w:rsidRPr="00B92499">
        <w:rPr>
          <w:rFonts w:ascii="Arial" w:hAnsi="Arial" w:cs="Arial"/>
          <w:sz w:val="24"/>
          <w:szCs w:val="24"/>
          <w:lang w:val="es-ES_tradnl"/>
        </w:rPr>
        <w:t>,</w:t>
      </w:r>
    </w:p>
    <w:p w14:paraId="78E10E4C" w14:textId="55344814"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143. Disposiciones Particulares</w:t>
      </w:r>
      <w:r w:rsidR="00735992" w:rsidRPr="00B92499">
        <w:rPr>
          <w:rFonts w:ascii="Arial" w:hAnsi="Arial" w:cs="Arial"/>
          <w:sz w:val="24"/>
          <w:szCs w:val="24"/>
          <w:lang w:val="es-ES_tradnl"/>
        </w:rPr>
        <w:t>,</w:t>
      </w:r>
    </w:p>
    <w:p w14:paraId="6CEE8280" w14:textId="51BE0599"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145. Disposiciones Particulares</w:t>
      </w:r>
      <w:r w:rsidR="00735992" w:rsidRPr="00B92499">
        <w:rPr>
          <w:rFonts w:ascii="Arial" w:hAnsi="Arial" w:cs="Arial"/>
          <w:sz w:val="24"/>
          <w:szCs w:val="24"/>
          <w:lang w:val="es-ES_tradnl"/>
        </w:rPr>
        <w:t>,</w:t>
      </w:r>
    </w:p>
    <w:p w14:paraId="1511634F" w14:textId="01E9B2BA" w:rsidR="00940CBA"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146. Disposiciones Particulares, y </w:t>
      </w:r>
    </w:p>
    <w:p w14:paraId="571B9C73" w14:textId="7D7A2B82" w:rsidR="00BC3D51" w:rsidRPr="00B92499" w:rsidRDefault="009D7771" w:rsidP="009F64B5">
      <w:pPr>
        <w:pStyle w:val="Prrafodelista"/>
        <w:numPr>
          <w:ilvl w:val="0"/>
          <w:numId w:val="10"/>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940CBA" w:rsidRPr="00B92499">
        <w:rPr>
          <w:rFonts w:ascii="Arial" w:hAnsi="Arial" w:cs="Arial"/>
          <w:sz w:val="24"/>
          <w:szCs w:val="24"/>
          <w:lang w:val="es-ES_tradnl"/>
        </w:rPr>
        <w:t xml:space="preserve"> 147. Disposiciones Particulares.</w:t>
      </w:r>
    </w:p>
    <w:p w14:paraId="594DBDF2" w14:textId="77777777" w:rsidR="00940CBA" w:rsidRPr="00B92499" w:rsidRDefault="00940CBA" w:rsidP="009F64B5">
      <w:pPr>
        <w:pStyle w:val="Ttulo3"/>
        <w:numPr>
          <w:ilvl w:val="2"/>
          <w:numId w:val="11"/>
        </w:numPr>
        <w:contextualSpacing/>
        <w:jc w:val="both"/>
        <w:rPr>
          <w:rFonts w:ascii="Arial" w:hAnsi="Arial" w:cs="Arial"/>
          <w:b/>
          <w:color w:val="auto"/>
        </w:rPr>
      </w:pPr>
      <w:bookmarkStart w:id="31" w:name="_Toc23252987"/>
      <w:r w:rsidRPr="00B92499">
        <w:rPr>
          <w:rFonts w:ascii="Arial" w:hAnsi="Arial" w:cs="Arial"/>
          <w:b/>
          <w:color w:val="auto"/>
        </w:rPr>
        <w:t>Análisis global de cumplimiento de las Demarcaciones Políticas</w:t>
      </w:r>
      <w:bookmarkEnd w:id="31"/>
      <w:r w:rsidRPr="00B92499">
        <w:rPr>
          <w:rFonts w:ascii="Arial" w:hAnsi="Arial" w:cs="Arial"/>
          <w:b/>
          <w:color w:val="auto"/>
        </w:rPr>
        <w:t xml:space="preserve"> </w:t>
      </w:r>
    </w:p>
    <w:p w14:paraId="167CC269" w14:textId="77777777" w:rsidR="00D2376D" w:rsidRPr="00B92499" w:rsidRDefault="00D2376D" w:rsidP="00D2376D">
      <w:pPr>
        <w:rPr>
          <w:rFonts w:ascii="Arial" w:hAnsi="Arial" w:cs="Arial"/>
        </w:rPr>
      </w:pPr>
    </w:p>
    <w:p w14:paraId="4B3AF349" w14:textId="54986003" w:rsidR="00940CBA" w:rsidRPr="00B92499" w:rsidRDefault="00940CBA" w:rsidP="002E7D47">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Índices Globales de Cumplimiento de la</w:t>
      </w:r>
      <w:r w:rsidR="00D2376D" w:rsidRPr="00B92499">
        <w:rPr>
          <w:rFonts w:ascii="Arial" w:hAnsi="Arial" w:cs="Arial"/>
          <w:u w:val="single"/>
        </w:rPr>
        <w:t xml:space="preserve">s </w:t>
      </w:r>
      <w:r w:rsidR="008710F6" w:rsidRPr="00B92499">
        <w:rPr>
          <w:rFonts w:ascii="Arial" w:hAnsi="Arial" w:cs="Arial"/>
          <w:u w:val="single"/>
        </w:rPr>
        <w:t>obligaciones de transparencia</w:t>
      </w:r>
    </w:p>
    <w:p w14:paraId="2F9419C0" w14:textId="08A13F18" w:rsidR="00D2376D"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IGOT, la calificación más alta fue de </w:t>
      </w:r>
      <w:r w:rsidR="00074700" w:rsidRPr="00B92499">
        <w:rPr>
          <w:rFonts w:ascii="Arial" w:hAnsi="Arial" w:cs="Arial"/>
        </w:rPr>
        <w:t>100</w:t>
      </w:r>
      <w:r w:rsidR="00525C08" w:rsidRPr="00B92499">
        <w:rPr>
          <w:rFonts w:ascii="Arial" w:hAnsi="Arial" w:cs="Arial"/>
        </w:rPr>
        <w:t>%</w:t>
      </w:r>
      <w:r w:rsidRPr="00B92499">
        <w:rPr>
          <w:rFonts w:ascii="Arial" w:hAnsi="Arial" w:cs="Arial"/>
        </w:rPr>
        <w:t xml:space="preserve"> y las más baja de </w:t>
      </w:r>
      <w:r w:rsidR="00074700" w:rsidRPr="00B92499">
        <w:rPr>
          <w:rFonts w:ascii="Arial" w:hAnsi="Arial" w:cs="Arial"/>
        </w:rPr>
        <w:t>62.39</w:t>
      </w:r>
      <w:r w:rsidR="00525C08" w:rsidRPr="00B92499">
        <w:rPr>
          <w:rFonts w:ascii="Arial" w:hAnsi="Arial" w:cs="Arial"/>
        </w:rPr>
        <w:t>%</w:t>
      </w:r>
      <w:r w:rsidRPr="00B92499">
        <w:rPr>
          <w:rFonts w:ascii="Arial" w:hAnsi="Arial" w:cs="Arial"/>
        </w:rPr>
        <w:t xml:space="preserve">; obteniendo este orden de gobierno una calificación promedio de </w:t>
      </w:r>
      <w:r w:rsidR="00074700" w:rsidRPr="00B92499">
        <w:rPr>
          <w:rFonts w:ascii="Arial" w:hAnsi="Arial" w:cs="Arial"/>
        </w:rPr>
        <w:t>87.89</w:t>
      </w:r>
      <w:r w:rsidR="00525C08" w:rsidRPr="00B92499">
        <w:rPr>
          <w:rFonts w:ascii="Arial" w:hAnsi="Arial" w:cs="Arial"/>
        </w:rPr>
        <w:t>%</w:t>
      </w:r>
      <w:r w:rsidRPr="00B92499">
        <w:rPr>
          <w:rFonts w:ascii="Arial" w:hAnsi="Arial" w:cs="Arial"/>
        </w:rPr>
        <w:t xml:space="preserve">. </w:t>
      </w:r>
      <w:r w:rsidR="000D67A7" w:rsidRPr="00B92499">
        <w:rPr>
          <w:rFonts w:ascii="Arial" w:hAnsi="Arial" w:cs="Arial"/>
        </w:rPr>
        <w:t>2</w:t>
      </w:r>
      <w:r w:rsidR="00074700"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00074700" w:rsidRPr="00B92499">
        <w:rPr>
          <w:rFonts w:ascii="Arial" w:hAnsi="Arial" w:cs="Arial"/>
        </w:rPr>
        <w:t xml:space="preserve"> obtuvieron un cumplimiento to</w:t>
      </w:r>
      <w:r w:rsidR="00BF662A" w:rsidRPr="00B92499">
        <w:rPr>
          <w:rFonts w:ascii="Arial" w:hAnsi="Arial" w:cs="Arial"/>
        </w:rPr>
        <w:t>t</w:t>
      </w:r>
      <w:r w:rsidR="00074700" w:rsidRPr="00B92499">
        <w:rPr>
          <w:rFonts w:ascii="Arial" w:hAnsi="Arial" w:cs="Arial"/>
        </w:rPr>
        <w:t>al. Catorce</w:t>
      </w:r>
      <w:r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cumplieron parcialmente obteniendo una calificación entre </w:t>
      </w:r>
      <w:r w:rsidR="00074700" w:rsidRPr="00B92499">
        <w:rPr>
          <w:rFonts w:ascii="Arial" w:hAnsi="Arial" w:cs="Arial"/>
        </w:rPr>
        <w:t>62.39</w:t>
      </w:r>
      <w:r w:rsidR="00525C08" w:rsidRPr="00B92499">
        <w:rPr>
          <w:rFonts w:ascii="Arial" w:hAnsi="Arial" w:cs="Arial"/>
        </w:rPr>
        <w:t>%</w:t>
      </w:r>
      <w:r w:rsidR="00BF662A" w:rsidRPr="00B92499">
        <w:rPr>
          <w:rFonts w:ascii="Arial" w:hAnsi="Arial" w:cs="Arial"/>
        </w:rPr>
        <w:t xml:space="preserve"> </w:t>
      </w:r>
      <w:r w:rsidRPr="00B92499">
        <w:rPr>
          <w:rFonts w:ascii="Arial" w:hAnsi="Arial" w:cs="Arial"/>
        </w:rPr>
        <w:t xml:space="preserve">y </w:t>
      </w:r>
      <w:r w:rsidR="00074700" w:rsidRPr="00B92499">
        <w:rPr>
          <w:rFonts w:ascii="Arial" w:hAnsi="Arial" w:cs="Arial"/>
        </w:rPr>
        <w:t>99.47</w:t>
      </w:r>
      <w:r w:rsidR="00525C08" w:rsidRPr="00B92499">
        <w:rPr>
          <w:rFonts w:ascii="Arial" w:hAnsi="Arial" w:cs="Arial"/>
        </w:rPr>
        <w:t>%</w:t>
      </w:r>
      <w:r w:rsidR="00074700" w:rsidRPr="00B92499">
        <w:rPr>
          <w:rFonts w:ascii="Arial" w:hAnsi="Arial" w:cs="Arial"/>
        </w:rPr>
        <w:t>.</w:t>
      </w:r>
    </w:p>
    <w:p w14:paraId="4B17FDFB" w14:textId="77777777" w:rsidR="00525C08" w:rsidRPr="00B92499" w:rsidRDefault="00525C08" w:rsidP="002E7D47">
      <w:pPr>
        <w:spacing w:before="100" w:beforeAutospacing="1" w:after="100" w:afterAutospacing="1" w:line="360" w:lineRule="auto"/>
        <w:contextualSpacing/>
        <w:jc w:val="both"/>
        <w:rPr>
          <w:rFonts w:ascii="Arial" w:hAnsi="Arial" w:cs="Arial"/>
        </w:rPr>
      </w:pPr>
    </w:p>
    <w:p w14:paraId="5FACB99C" w14:textId="040F52FA" w:rsidR="00D2376D"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este </w:t>
      </w:r>
      <w:r w:rsidR="00490622" w:rsidRPr="00B92499">
        <w:rPr>
          <w:rFonts w:ascii="Arial" w:hAnsi="Arial" w:cs="Arial"/>
        </w:rPr>
        <w:t xml:space="preserve">ámbito </w:t>
      </w:r>
      <w:r w:rsidRPr="00B92499">
        <w:rPr>
          <w:rFonts w:ascii="Arial" w:hAnsi="Arial" w:cs="Arial"/>
        </w:rPr>
        <w:t xml:space="preserve">existe un grado de cumplimiento de </w:t>
      </w:r>
      <w:r w:rsidR="00074700" w:rsidRPr="00B92499">
        <w:rPr>
          <w:rFonts w:ascii="Arial" w:hAnsi="Arial" w:cs="Arial"/>
        </w:rPr>
        <w:t>87.89</w:t>
      </w:r>
      <w:r w:rsidRPr="00B92499">
        <w:rPr>
          <w:rFonts w:ascii="Arial" w:hAnsi="Arial" w:cs="Arial"/>
        </w:rPr>
        <w:t xml:space="preserve">% en lo que respecta a la publicación general de la información, </w:t>
      </w:r>
      <w:r w:rsidR="00074700" w:rsidRPr="00B92499">
        <w:rPr>
          <w:rFonts w:ascii="Arial" w:hAnsi="Arial" w:cs="Arial"/>
        </w:rPr>
        <w:t>94.84</w:t>
      </w:r>
      <w:r w:rsidRPr="00B92499">
        <w:rPr>
          <w:rFonts w:ascii="Arial" w:hAnsi="Arial" w:cs="Arial"/>
        </w:rPr>
        <w:t xml:space="preserve">% sobre la publicación en la PNT y </w:t>
      </w:r>
      <w:r w:rsidR="00074700" w:rsidRPr="00B92499">
        <w:rPr>
          <w:rFonts w:ascii="Arial" w:hAnsi="Arial" w:cs="Arial"/>
        </w:rPr>
        <w:t>89.94</w:t>
      </w:r>
      <w:r w:rsidRPr="00B92499">
        <w:rPr>
          <w:rFonts w:ascii="Arial" w:hAnsi="Arial" w:cs="Arial"/>
        </w:rPr>
        <w:t xml:space="preserve">% en los portales institucionales de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w:t>
      </w:r>
    </w:p>
    <w:p w14:paraId="00596DDE" w14:textId="77777777" w:rsidR="00BF662A" w:rsidRPr="00B92499" w:rsidRDefault="00BF662A" w:rsidP="002E7D47">
      <w:pPr>
        <w:spacing w:before="100" w:beforeAutospacing="1" w:after="100" w:afterAutospacing="1" w:line="360" w:lineRule="auto"/>
        <w:contextualSpacing/>
        <w:jc w:val="both"/>
        <w:rPr>
          <w:rFonts w:ascii="Arial" w:hAnsi="Arial" w:cs="Arial"/>
        </w:rPr>
      </w:pPr>
    </w:p>
    <w:p w14:paraId="01D8891C" w14:textId="77777777" w:rsidR="001112D7" w:rsidRPr="00B92499" w:rsidRDefault="00BF662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No obstante, el grado de </w:t>
      </w:r>
      <w:r w:rsidR="00B671B7" w:rsidRPr="00B92499">
        <w:rPr>
          <w:rFonts w:ascii="Arial" w:hAnsi="Arial" w:cs="Arial"/>
        </w:rPr>
        <w:t>cumplimiento</w:t>
      </w:r>
      <w:r w:rsidRPr="00B92499">
        <w:rPr>
          <w:rFonts w:ascii="Arial" w:hAnsi="Arial" w:cs="Arial"/>
        </w:rPr>
        <w:t xml:space="preserve"> </w:t>
      </w:r>
      <w:r w:rsidR="00B671B7" w:rsidRPr="00B92499">
        <w:rPr>
          <w:rFonts w:ascii="Arial" w:hAnsi="Arial" w:cs="Arial"/>
        </w:rPr>
        <w:t>anteriormente</w:t>
      </w:r>
      <w:r w:rsidRPr="00B92499">
        <w:rPr>
          <w:rFonts w:ascii="Arial" w:hAnsi="Arial" w:cs="Arial"/>
        </w:rPr>
        <w:t xml:space="preserve"> señalado respecto del ámbito de </w:t>
      </w:r>
      <w:r w:rsidR="00B671B7" w:rsidRPr="00B92499">
        <w:rPr>
          <w:rFonts w:ascii="Arial" w:hAnsi="Arial" w:cs="Arial"/>
        </w:rPr>
        <w:t>Demarcaciones</w:t>
      </w:r>
      <w:r w:rsidRPr="00B92499">
        <w:rPr>
          <w:rFonts w:ascii="Arial" w:hAnsi="Arial" w:cs="Arial"/>
        </w:rPr>
        <w:t xml:space="preserve"> Políticas está conformado por el índice de cumplimiento respecto de la información que se encuentra pública y actualizada tanto en los Portales de Internet Institucionales como en la Plataforma Nacional de Transparencia y el índice de cumplimiento respecto del </w:t>
      </w:r>
      <w:r w:rsidR="00B671B7" w:rsidRPr="00B92499">
        <w:rPr>
          <w:rFonts w:ascii="Arial" w:hAnsi="Arial" w:cs="Arial"/>
        </w:rPr>
        <w:t>cumplimiento</w:t>
      </w:r>
      <w:r w:rsidRPr="00B92499">
        <w:rPr>
          <w:rFonts w:ascii="Arial" w:hAnsi="Arial" w:cs="Arial"/>
        </w:rPr>
        <w:t xml:space="preserve"> de </w:t>
      </w:r>
      <w:r w:rsidR="001112D7" w:rsidRPr="00B92499">
        <w:rPr>
          <w:rFonts w:ascii="Arial" w:hAnsi="Arial" w:cs="Arial"/>
        </w:rPr>
        <w:t xml:space="preserve">lo mandatado en las obligaciones de </w:t>
      </w:r>
      <w:r w:rsidR="00B671B7" w:rsidRPr="00B92499">
        <w:rPr>
          <w:rFonts w:ascii="Arial" w:hAnsi="Arial" w:cs="Arial"/>
        </w:rPr>
        <w:lastRenderedPageBreak/>
        <w:t>transparencia</w:t>
      </w:r>
      <w:r w:rsidR="001112D7" w:rsidRPr="00B92499">
        <w:rPr>
          <w:rFonts w:ascii="Arial" w:hAnsi="Arial" w:cs="Arial"/>
        </w:rPr>
        <w:t xml:space="preserve"> a través de la publicación de una nota fundada y </w:t>
      </w:r>
      <w:r w:rsidR="00B671B7" w:rsidRPr="00B92499">
        <w:rPr>
          <w:rFonts w:ascii="Arial" w:hAnsi="Arial" w:cs="Arial"/>
        </w:rPr>
        <w:t>motivada</w:t>
      </w:r>
      <w:r w:rsidR="001112D7" w:rsidRPr="00B92499">
        <w:rPr>
          <w:rFonts w:ascii="Arial" w:hAnsi="Arial" w:cs="Arial"/>
        </w:rPr>
        <w:t xml:space="preserve"> que </w:t>
      </w:r>
      <w:r w:rsidR="00B671B7" w:rsidRPr="00B92499">
        <w:rPr>
          <w:rFonts w:ascii="Arial" w:hAnsi="Arial" w:cs="Arial"/>
        </w:rPr>
        <w:t>aclara</w:t>
      </w:r>
      <w:r w:rsidR="001112D7" w:rsidRPr="00B92499">
        <w:rPr>
          <w:rFonts w:ascii="Arial" w:hAnsi="Arial" w:cs="Arial"/>
        </w:rPr>
        <w:t xml:space="preserve"> el por qué no se generó, publicó o </w:t>
      </w:r>
      <w:r w:rsidR="00B671B7" w:rsidRPr="00B92499">
        <w:rPr>
          <w:rFonts w:ascii="Arial" w:hAnsi="Arial" w:cs="Arial"/>
        </w:rPr>
        <w:t>actualizó</w:t>
      </w:r>
      <w:r w:rsidR="001112D7" w:rsidRPr="00B92499">
        <w:rPr>
          <w:rFonts w:ascii="Arial" w:hAnsi="Arial" w:cs="Arial"/>
        </w:rPr>
        <w:t xml:space="preserve"> la información. </w:t>
      </w:r>
    </w:p>
    <w:p w14:paraId="6B10B822" w14:textId="77777777" w:rsidR="001112D7" w:rsidRPr="00B92499" w:rsidRDefault="001112D7" w:rsidP="002E7D47">
      <w:pPr>
        <w:spacing w:before="100" w:beforeAutospacing="1" w:after="100" w:afterAutospacing="1" w:line="360" w:lineRule="auto"/>
        <w:contextualSpacing/>
        <w:jc w:val="both"/>
        <w:rPr>
          <w:rFonts w:ascii="Arial" w:hAnsi="Arial" w:cs="Arial"/>
        </w:rPr>
      </w:pPr>
    </w:p>
    <w:p w14:paraId="7B74EB12" w14:textId="77777777" w:rsidR="001112D7" w:rsidRPr="00B92499" w:rsidRDefault="001112D7" w:rsidP="002E7D47">
      <w:pPr>
        <w:spacing w:before="100" w:beforeAutospacing="1" w:after="100" w:afterAutospacing="1" w:line="360" w:lineRule="auto"/>
        <w:contextualSpacing/>
        <w:jc w:val="both"/>
        <w:rPr>
          <w:rFonts w:ascii="Arial" w:hAnsi="Arial" w:cs="Arial"/>
        </w:rPr>
      </w:pPr>
      <w:r w:rsidRPr="00B92499">
        <w:rPr>
          <w:rFonts w:ascii="Arial" w:hAnsi="Arial" w:cs="Arial"/>
        </w:rPr>
        <w:t>El grado de cumplimiento de este ámbito, consistente en 87.89%</w:t>
      </w:r>
      <w:r w:rsidR="0088482A" w:rsidRPr="00B92499">
        <w:rPr>
          <w:rFonts w:ascii="Arial" w:hAnsi="Arial" w:cs="Arial"/>
        </w:rPr>
        <w:t>,</w:t>
      </w:r>
      <w:r w:rsidRPr="00B92499">
        <w:rPr>
          <w:rFonts w:ascii="Arial" w:hAnsi="Arial" w:cs="Arial"/>
        </w:rPr>
        <w:t xml:space="preserve"> está integrado por </w:t>
      </w:r>
      <w:r w:rsidR="0088482A" w:rsidRPr="00B92499">
        <w:rPr>
          <w:rFonts w:ascii="Arial" w:hAnsi="Arial" w:cs="Arial"/>
        </w:rPr>
        <w:t xml:space="preserve">85.55% de información publicada y actualizada en </w:t>
      </w:r>
      <w:r w:rsidR="00B671B7" w:rsidRPr="00B92499">
        <w:rPr>
          <w:rFonts w:ascii="Arial" w:hAnsi="Arial" w:cs="Arial"/>
        </w:rPr>
        <w:t>atención</w:t>
      </w:r>
      <w:r w:rsidR="0088482A" w:rsidRPr="00B92499">
        <w:rPr>
          <w:rFonts w:ascii="Arial" w:hAnsi="Arial" w:cs="Arial"/>
        </w:rPr>
        <w:t xml:space="preserve"> a los principios mandatados en la Ley de Transparencia Local y un 2.34% que corresponde a notas aclaratorias. </w:t>
      </w:r>
    </w:p>
    <w:p w14:paraId="4F6AFFC2" w14:textId="77777777" w:rsidR="00535A9F" w:rsidRPr="00B92499" w:rsidRDefault="00535A9F" w:rsidP="002E7D47">
      <w:pPr>
        <w:spacing w:before="100" w:beforeAutospacing="1" w:after="100" w:afterAutospacing="1" w:line="360" w:lineRule="auto"/>
        <w:contextualSpacing/>
        <w:jc w:val="both"/>
        <w:rPr>
          <w:rFonts w:ascii="Arial" w:hAnsi="Arial" w:cs="Arial"/>
        </w:rPr>
      </w:pPr>
    </w:p>
    <w:p w14:paraId="56E296CF" w14:textId="24949832" w:rsidR="00940CBA" w:rsidRPr="00B92499" w:rsidRDefault="00940CBA" w:rsidP="002E7D47">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4DC05B2A" w14:textId="77777777" w:rsidR="00D2376D" w:rsidRPr="00B92499" w:rsidRDefault="00D2376D" w:rsidP="002E7D47">
      <w:pPr>
        <w:spacing w:before="100" w:beforeAutospacing="1" w:after="100" w:afterAutospacing="1" w:line="360" w:lineRule="auto"/>
        <w:contextualSpacing/>
        <w:jc w:val="both"/>
        <w:rPr>
          <w:rFonts w:ascii="Arial" w:hAnsi="Arial" w:cs="Arial"/>
          <w:u w:val="single"/>
        </w:rPr>
      </w:pPr>
    </w:p>
    <w:p w14:paraId="67763D89" w14:textId="77777777"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orden de gobierno del ámbito ejecutivo ha cumplido parcialmente en la publicación y actualización de sus obligaciones comunes, específicas y disposiciones particulares; obteniendo un promedio de cumplimiento de </w:t>
      </w:r>
      <w:r w:rsidR="00074700" w:rsidRPr="00B92499">
        <w:rPr>
          <w:rFonts w:ascii="Arial" w:hAnsi="Arial" w:cs="Arial"/>
        </w:rPr>
        <w:t>88.45</w:t>
      </w:r>
      <w:r w:rsidRPr="00B92499">
        <w:rPr>
          <w:rFonts w:ascii="Arial" w:hAnsi="Arial" w:cs="Arial"/>
        </w:rPr>
        <w:t xml:space="preserve">%, </w:t>
      </w:r>
      <w:r w:rsidR="00074700" w:rsidRPr="00B92499">
        <w:rPr>
          <w:rFonts w:ascii="Arial" w:hAnsi="Arial" w:cs="Arial"/>
        </w:rPr>
        <w:t>82.81</w:t>
      </w:r>
      <w:r w:rsidRPr="00B92499">
        <w:rPr>
          <w:rFonts w:ascii="Arial" w:hAnsi="Arial" w:cs="Arial"/>
        </w:rPr>
        <w:t xml:space="preserve">% y </w:t>
      </w:r>
      <w:r w:rsidR="00074700" w:rsidRPr="00B92499">
        <w:rPr>
          <w:rFonts w:ascii="Arial" w:hAnsi="Arial" w:cs="Arial"/>
        </w:rPr>
        <w:t>90.99</w:t>
      </w:r>
      <w:r w:rsidRPr="00B92499">
        <w:rPr>
          <w:rFonts w:ascii="Arial" w:hAnsi="Arial" w:cs="Arial"/>
        </w:rPr>
        <w:t xml:space="preserve">% respectivamente. </w:t>
      </w:r>
    </w:p>
    <w:p w14:paraId="3E23A476" w14:textId="77777777" w:rsidR="00D2376D" w:rsidRPr="00B92499" w:rsidRDefault="00D2376D" w:rsidP="002E7D47">
      <w:pPr>
        <w:spacing w:before="100" w:beforeAutospacing="1" w:after="100" w:afterAutospacing="1" w:line="360" w:lineRule="auto"/>
        <w:contextualSpacing/>
        <w:jc w:val="both"/>
        <w:rPr>
          <w:rFonts w:ascii="Arial" w:hAnsi="Arial" w:cs="Arial"/>
        </w:rPr>
      </w:pPr>
    </w:p>
    <w:p w14:paraId="786907B9" w14:textId="70595AD6"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misma línea, el </w:t>
      </w:r>
      <w:r w:rsidR="008F67E4" w:rsidRPr="00B92499">
        <w:rPr>
          <w:rFonts w:ascii="Arial" w:hAnsi="Arial" w:cs="Arial"/>
        </w:rPr>
        <w:t>artículo</w:t>
      </w:r>
      <w:r w:rsidR="003250DC" w:rsidRPr="00B92499">
        <w:rPr>
          <w:rFonts w:ascii="Arial" w:hAnsi="Arial" w:cs="Arial"/>
        </w:rPr>
        <w:t xml:space="preserve"> 145 tuvo un ICP de 9</w:t>
      </w:r>
      <w:r w:rsidR="00074700" w:rsidRPr="00B92499">
        <w:rPr>
          <w:rFonts w:ascii="Arial" w:hAnsi="Arial" w:cs="Arial"/>
        </w:rPr>
        <w:t>9</w:t>
      </w:r>
      <w:r w:rsidR="003250DC" w:rsidRPr="00B92499">
        <w:rPr>
          <w:rFonts w:ascii="Arial" w:hAnsi="Arial" w:cs="Arial"/>
        </w:rPr>
        <w:t>.</w:t>
      </w:r>
      <w:r w:rsidR="00074700" w:rsidRPr="00B92499">
        <w:rPr>
          <w:rFonts w:ascii="Arial" w:hAnsi="Arial" w:cs="Arial"/>
        </w:rPr>
        <w:t>61</w:t>
      </w:r>
      <w:r w:rsidRPr="00B92499">
        <w:rPr>
          <w:rFonts w:ascii="Arial" w:hAnsi="Arial" w:cs="Arial"/>
        </w:rPr>
        <w:t>,</w:t>
      </w:r>
      <w:r w:rsidR="003250DC" w:rsidRPr="00B92499">
        <w:rPr>
          <w:rFonts w:ascii="Arial" w:hAnsi="Arial" w:cs="Arial"/>
        </w:rPr>
        <w:t xml:space="preserve"> el 143 obtuvo ICP de </w:t>
      </w:r>
      <w:r w:rsidR="00074700" w:rsidRPr="00B92499">
        <w:rPr>
          <w:rFonts w:ascii="Arial" w:hAnsi="Arial" w:cs="Arial"/>
        </w:rPr>
        <w:t>94.06</w:t>
      </w:r>
      <w:r w:rsidR="003250DC" w:rsidRPr="00B92499">
        <w:rPr>
          <w:rFonts w:ascii="Arial" w:hAnsi="Arial" w:cs="Arial"/>
        </w:rPr>
        <w:t xml:space="preserve">%, </w:t>
      </w:r>
      <w:r w:rsidR="00074700" w:rsidRPr="00B92499">
        <w:rPr>
          <w:rFonts w:ascii="Arial" w:hAnsi="Arial" w:cs="Arial"/>
        </w:rPr>
        <w:t xml:space="preserve">el 146 con un ICP de 92.50%, </w:t>
      </w:r>
      <w:r w:rsidRPr="00B92499">
        <w:rPr>
          <w:rFonts w:ascii="Arial" w:hAnsi="Arial" w:cs="Arial"/>
        </w:rPr>
        <w:t>el 122</w:t>
      </w:r>
      <w:r w:rsidR="003A57A0" w:rsidRPr="00B92499">
        <w:rPr>
          <w:rFonts w:ascii="Arial" w:hAnsi="Arial" w:cs="Arial"/>
        </w:rPr>
        <w:t xml:space="preserve"> de </w:t>
      </w:r>
      <w:r w:rsidR="00074700" w:rsidRPr="00B92499">
        <w:rPr>
          <w:rFonts w:ascii="Arial" w:hAnsi="Arial" w:cs="Arial"/>
        </w:rPr>
        <w:t>88.86</w:t>
      </w:r>
      <w:r w:rsidR="003A57A0" w:rsidRPr="00B92499">
        <w:rPr>
          <w:rFonts w:ascii="Arial" w:hAnsi="Arial" w:cs="Arial"/>
        </w:rPr>
        <w:t>%, el 1</w:t>
      </w:r>
      <w:r w:rsidR="00074700" w:rsidRPr="00B92499">
        <w:rPr>
          <w:rFonts w:ascii="Arial" w:hAnsi="Arial" w:cs="Arial"/>
        </w:rPr>
        <w:t>21</w:t>
      </w:r>
      <w:r w:rsidR="003A57A0" w:rsidRPr="00B92499">
        <w:rPr>
          <w:rFonts w:ascii="Arial" w:hAnsi="Arial" w:cs="Arial"/>
        </w:rPr>
        <w:t xml:space="preserve"> de </w:t>
      </w:r>
      <w:r w:rsidR="00074700" w:rsidRPr="00B92499">
        <w:rPr>
          <w:rFonts w:ascii="Arial" w:hAnsi="Arial" w:cs="Arial"/>
        </w:rPr>
        <w:t>88.05</w:t>
      </w:r>
      <w:r w:rsidR="003A57A0" w:rsidRPr="00B92499">
        <w:rPr>
          <w:rFonts w:ascii="Arial" w:hAnsi="Arial" w:cs="Arial"/>
        </w:rPr>
        <w:t xml:space="preserve">%, </w:t>
      </w:r>
      <w:r w:rsidRPr="00B92499">
        <w:rPr>
          <w:rFonts w:ascii="Arial" w:hAnsi="Arial" w:cs="Arial"/>
        </w:rPr>
        <w:t>el 12</w:t>
      </w:r>
      <w:r w:rsidR="00074700" w:rsidRPr="00B92499">
        <w:rPr>
          <w:rFonts w:ascii="Arial" w:hAnsi="Arial" w:cs="Arial"/>
        </w:rPr>
        <w:t>4</w:t>
      </w:r>
      <w:r w:rsidRPr="00B92499">
        <w:rPr>
          <w:rFonts w:ascii="Arial" w:hAnsi="Arial" w:cs="Arial"/>
        </w:rPr>
        <w:t xml:space="preserve"> alcanzó </w:t>
      </w:r>
      <w:r w:rsidR="00074700" w:rsidRPr="00B92499">
        <w:rPr>
          <w:rFonts w:ascii="Arial" w:hAnsi="Arial" w:cs="Arial"/>
        </w:rPr>
        <w:t>82.81</w:t>
      </w:r>
      <w:r w:rsidRPr="00B92499">
        <w:rPr>
          <w:rFonts w:ascii="Arial" w:hAnsi="Arial" w:cs="Arial"/>
        </w:rPr>
        <w:t>%, y por último el 14</w:t>
      </w:r>
      <w:r w:rsidR="00074700" w:rsidRPr="00B92499">
        <w:rPr>
          <w:rFonts w:ascii="Arial" w:hAnsi="Arial" w:cs="Arial"/>
        </w:rPr>
        <w:t xml:space="preserve">7 </w:t>
      </w:r>
      <w:r w:rsidRPr="00B92499">
        <w:rPr>
          <w:rFonts w:ascii="Arial" w:hAnsi="Arial" w:cs="Arial"/>
        </w:rPr>
        <w:t xml:space="preserve">con un ICP de </w:t>
      </w:r>
      <w:r w:rsidR="00074700" w:rsidRPr="00B92499">
        <w:rPr>
          <w:rFonts w:ascii="Arial" w:hAnsi="Arial" w:cs="Arial"/>
        </w:rPr>
        <w:t>77.79</w:t>
      </w:r>
      <w:r w:rsidRPr="00B92499">
        <w:rPr>
          <w:rFonts w:ascii="Arial" w:hAnsi="Arial" w:cs="Arial"/>
        </w:rPr>
        <w:t xml:space="preserve">%. </w:t>
      </w:r>
    </w:p>
    <w:p w14:paraId="705A41A2" w14:textId="77777777" w:rsidR="00D871E0" w:rsidRPr="00B92499" w:rsidRDefault="00D871E0" w:rsidP="002E7D47">
      <w:pPr>
        <w:spacing w:before="100" w:beforeAutospacing="1" w:after="100" w:afterAutospacing="1" w:line="360" w:lineRule="auto"/>
        <w:contextualSpacing/>
        <w:jc w:val="both"/>
        <w:rPr>
          <w:rFonts w:ascii="Arial" w:hAnsi="Arial" w:cs="Arial"/>
        </w:rPr>
      </w:pPr>
    </w:p>
    <w:p w14:paraId="5194E6C0" w14:textId="77777777" w:rsidR="00D871E0" w:rsidRPr="00B92499" w:rsidRDefault="00D871E0"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respecto </w:t>
      </w:r>
      <w:r w:rsidR="00542E06" w:rsidRPr="00B92499">
        <w:rPr>
          <w:rFonts w:ascii="Arial" w:hAnsi="Arial" w:cs="Arial"/>
        </w:rPr>
        <w:t xml:space="preserve">de cada uno de los artículos que conforman el índice global, el ICP del artículo 121 está compuesto por 2% de notas aclaratorias, el ICP del artículo 122 por 4.5% de notas, el ICP del artículo 124 por 4.9% de notas, el ICP del artículo 143 por 6.6% de notas, el ICP del artículo 147 por 2.7% y los ICPs de los artículos 145 y 146 no tuvieron cambio alguno, debido a que no fueron utilizadas notas aclaratorias.  </w:t>
      </w:r>
    </w:p>
    <w:p w14:paraId="58653A2D" w14:textId="489E47FA" w:rsidR="00D2376D" w:rsidRPr="00B92499" w:rsidRDefault="00940CBA" w:rsidP="009F64B5">
      <w:pPr>
        <w:pStyle w:val="Ttulo3"/>
        <w:numPr>
          <w:ilvl w:val="2"/>
          <w:numId w:val="11"/>
        </w:numPr>
        <w:contextualSpacing/>
        <w:jc w:val="both"/>
        <w:rPr>
          <w:rFonts w:ascii="Arial" w:hAnsi="Arial" w:cs="Arial"/>
          <w:b/>
          <w:color w:val="auto"/>
        </w:rPr>
      </w:pPr>
      <w:bookmarkStart w:id="32" w:name="_Toc23252988"/>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121 y sus respectivas fracciones</w:t>
      </w:r>
      <w:bookmarkEnd w:id="32"/>
    </w:p>
    <w:p w14:paraId="3E75B5CD" w14:textId="252104B6"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las delegaciones obtuvieron un ICP en este </w:t>
      </w:r>
      <w:r w:rsidR="008F67E4" w:rsidRPr="00B92499">
        <w:rPr>
          <w:rFonts w:ascii="Arial" w:hAnsi="Arial" w:cs="Arial"/>
        </w:rPr>
        <w:t>artículo</w:t>
      </w:r>
      <w:r w:rsidRPr="00B92499">
        <w:rPr>
          <w:rFonts w:ascii="Arial" w:hAnsi="Arial" w:cs="Arial"/>
        </w:rPr>
        <w:t xml:space="preserve"> de </w:t>
      </w:r>
      <w:r w:rsidR="00074700" w:rsidRPr="00B92499">
        <w:rPr>
          <w:rFonts w:ascii="Arial" w:hAnsi="Arial" w:cs="Arial"/>
        </w:rPr>
        <w:t>88.05</w:t>
      </w:r>
      <w:r w:rsidRPr="00B92499">
        <w:rPr>
          <w:rFonts w:ascii="Arial" w:hAnsi="Arial" w:cs="Arial"/>
        </w:rPr>
        <w:t xml:space="preserve">%; por lo que se encuentra dentro del área de cumplimiento parcial. </w:t>
      </w:r>
      <w:r w:rsidR="00074700" w:rsidRPr="00B92499">
        <w:rPr>
          <w:rFonts w:ascii="Arial" w:hAnsi="Arial" w:cs="Arial"/>
        </w:rPr>
        <w:t>Las</w:t>
      </w:r>
      <w:r w:rsidR="000D67A7" w:rsidRPr="00B92499">
        <w:rPr>
          <w:rFonts w:ascii="Arial" w:hAnsi="Arial" w:cs="Arial"/>
        </w:rPr>
        <w:t xml:space="preserve"> 6  </w:t>
      </w:r>
      <w:r w:rsidRPr="00B92499">
        <w:rPr>
          <w:rFonts w:ascii="Arial" w:hAnsi="Arial" w:cs="Arial"/>
        </w:rPr>
        <w:t xml:space="preserve">fracciones con mayor área de oportunidad, ya que se colocaron en un </w:t>
      </w:r>
      <w:r w:rsidR="00074700" w:rsidRPr="00B92499">
        <w:rPr>
          <w:rFonts w:ascii="Arial" w:hAnsi="Arial" w:cs="Arial"/>
        </w:rPr>
        <w:t>cumplimiento</w:t>
      </w:r>
      <w:r w:rsidRPr="00B92499">
        <w:rPr>
          <w:rFonts w:ascii="Arial" w:hAnsi="Arial" w:cs="Arial"/>
        </w:rPr>
        <w:t xml:space="preserve"> parcial entre </w:t>
      </w:r>
      <w:r w:rsidR="00074700" w:rsidRPr="00B92499">
        <w:rPr>
          <w:rFonts w:ascii="Arial" w:hAnsi="Arial" w:cs="Arial"/>
        </w:rPr>
        <w:t>75.65</w:t>
      </w:r>
      <w:r w:rsidRPr="00B92499">
        <w:rPr>
          <w:rFonts w:ascii="Arial" w:hAnsi="Arial" w:cs="Arial"/>
        </w:rPr>
        <w:t xml:space="preserve">% y </w:t>
      </w:r>
      <w:r w:rsidR="00074700" w:rsidRPr="00B92499">
        <w:rPr>
          <w:rFonts w:ascii="Arial" w:hAnsi="Arial" w:cs="Arial"/>
        </w:rPr>
        <w:t>79.49</w:t>
      </w:r>
      <w:r w:rsidRPr="00B92499">
        <w:rPr>
          <w:rFonts w:ascii="Arial" w:hAnsi="Arial" w:cs="Arial"/>
        </w:rPr>
        <w:t>%, son las</w:t>
      </w:r>
      <w:r w:rsidR="00B671B7" w:rsidRPr="00B92499">
        <w:rPr>
          <w:rFonts w:ascii="Arial" w:hAnsi="Arial" w:cs="Arial"/>
        </w:rPr>
        <w:t xml:space="preserve"> </w:t>
      </w:r>
      <w:r w:rsidRPr="00B92499">
        <w:rPr>
          <w:rFonts w:ascii="Arial" w:hAnsi="Arial" w:cs="Arial"/>
        </w:rPr>
        <w:t xml:space="preserve">siguientes: </w:t>
      </w:r>
    </w:p>
    <w:p w14:paraId="44CC5110" w14:textId="77777777" w:rsidR="00B671B7" w:rsidRPr="00B92499" w:rsidRDefault="00B671B7"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LII, con un ICP de 75.65% en la cual se mandata la publicación de </w:t>
      </w:r>
      <w:r w:rsidRPr="00B92499">
        <w:rPr>
          <w:rFonts w:ascii="Arial" w:hAnsi="Arial" w:cs="Arial"/>
          <w:color w:val="000000"/>
          <w:sz w:val="24"/>
          <w:szCs w:val="24"/>
          <w:lang w:val="es-ES_tradnl"/>
        </w:rPr>
        <w:t xml:space="preserve">cualquier otra información que sea de utilidad o se considere relevante. </w:t>
      </w:r>
      <w:r w:rsidRPr="00B92499">
        <w:rPr>
          <w:rFonts w:ascii="Arial" w:hAnsi="Arial" w:cs="Arial"/>
          <w:sz w:val="24"/>
          <w:szCs w:val="24"/>
          <w:lang w:val="es-ES_tradnl"/>
        </w:rPr>
        <w:t>El área de oportunidad de las alcaldías respecto de esta fracción es actualizar la información conforme indica la normatividad vigente.</w:t>
      </w:r>
    </w:p>
    <w:p w14:paraId="6D4EB99D" w14:textId="272DC343" w:rsidR="00B671B7" w:rsidRPr="00B92499" w:rsidRDefault="00B671B7"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XXIII, con un ICP de 76.09% en la cual está señalada la obligación de publicar las </w:t>
      </w:r>
      <w:r w:rsidRPr="00B92499">
        <w:rPr>
          <w:rFonts w:ascii="Arial" w:hAnsi="Arial" w:cs="Arial"/>
          <w:color w:val="000000"/>
          <w:sz w:val="24"/>
          <w:szCs w:val="24"/>
          <w:lang w:val="es-ES_tradnl"/>
        </w:rPr>
        <w:t>metas y objetivos de la dirección conforme al POA.</w:t>
      </w:r>
      <w:r w:rsidRPr="00B92499">
        <w:rPr>
          <w:rFonts w:ascii="Arial" w:hAnsi="Arial" w:cs="Arial"/>
          <w:sz w:val="24"/>
          <w:szCs w:val="24"/>
          <w:lang w:val="es-ES_tradnl"/>
        </w:rPr>
        <w:t xml:space="preserve"> El área de oportunidad de las alcaldías respecto de esta fracció</w:t>
      </w:r>
      <w:r w:rsidR="00735992" w:rsidRPr="00B92499">
        <w:rPr>
          <w:rFonts w:ascii="Arial" w:hAnsi="Arial" w:cs="Arial"/>
          <w:sz w:val="24"/>
          <w:szCs w:val="24"/>
          <w:lang w:val="es-ES_tradnl"/>
        </w:rPr>
        <w:t>n consiste en</w:t>
      </w:r>
      <w:r w:rsidRPr="00B92499">
        <w:rPr>
          <w:rFonts w:ascii="Arial" w:hAnsi="Arial" w:cs="Arial"/>
          <w:sz w:val="24"/>
          <w:szCs w:val="24"/>
          <w:lang w:val="es-ES_tradnl"/>
        </w:rPr>
        <w:t xml:space="preserve"> publicar el hipervínculo que dirija a la información de la fracción IV del artículo 121.</w:t>
      </w:r>
    </w:p>
    <w:p w14:paraId="00339DF8" w14:textId="52A4D3F3" w:rsidR="00B671B7" w:rsidRPr="00B92499" w:rsidRDefault="00B671B7"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XXXVI, con un ICP de 78.91</w:t>
      </w:r>
      <w:r w:rsidR="00AA2096" w:rsidRPr="00B92499">
        <w:rPr>
          <w:rFonts w:ascii="Arial" w:hAnsi="Arial" w:cs="Arial"/>
          <w:sz w:val="24"/>
          <w:szCs w:val="24"/>
          <w:lang w:val="es-ES_tradnl"/>
        </w:rPr>
        <w:t>%</w:t>
      </w:r>
      <w:r w:rsidRPr="00B92499">
        <w:rPr>
          <w:rFonts w:ascii="Arial" w:hAnsi="Arial" w:cs="Arial"/>
          <w:sz w:val="24"/>
          <w:szCs w:val="24"/>
          <w:lang w:val="es-ES_tradnl"/>
        </w:rPr>
        <w:t xml:space="preserve"> en la cual se mandata la publicación del </w:t>
      </w:r>
      <w:r w:rsidRPr="00B92499">
        <w:rPr>
          <w:rFonts w:ascii="Arial" w:hAnsi="Arial" w:cs="Arial"/>
          <w:color w:val="000000"/>
          <w:sz w:val="24"/>
          <w:szCs w:val="24"/>
          <w:lang w:val="es-ES_tradnl"/>
        </w:rPr>
        <w:t xml:space="preserve">inventario de bienes muebles. </w:t>
      </w:r>
      <w:r w:rsidRPr="00B92499">
        <w:rPr>
          <w:rFonts w:ascii="Arial" w:hAnsi="Arial" w:cs="Arial"/>
          <w:sz w:val="24"/>
          <w:szCs w:val="24"/>
          <w:lang w:val="es-ES_tradnl"/>
        </w:rPr>
        <w:t xml:space="preserve">El área de oportunidad de las alcaldías respecto de esta fracción es actualizar la información semestralmente en relación a los bienes muebles e inmuebles con los que cuente 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w:t>
      </w:r>
    </w:p>
    <w:p w14:paraId="573FF627" w14:textId="5A3FE469" w:rsidR="00B671B7" w:rsidRPr="00B92499" w:rsidRDefault="00B671B7"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XXVI, con un ICP de 79.11% en la cual se mandata la publicación de los </w:t>
      </w:r>
      <w:r w:rsidRPr="00B92499">
        <w:rPr>
          <w:rFonts w:ascii="Arial" w:hAnsi="Arial" w:cs="Arial"/>
          <w:color w:val="000000"/>
          <w:sz w:val="24"/>
          <w:szCs w:val="24"/>
          <w:lang w:val="es-ES_tradnl"/>
        </w:rPr>
        <w:t xml:space="preserve">informes de resultados de </w:t>
      </w:r>
      <w:r w:rsidR="00C7683E" w:rsidRPr="00B92499">
        <w:rPr>
          <w:rFonts w:ascii="Arial" w:hAnsi="Arial" w:cs="Arial"/>
          <w:color w:val="000000"/>
          <w:sz w:val="24"/>
          <w:szCs w:val="24"/>
          <w:lang w:val="es-ES_tradnl"/>
        </w:rPr>
        <w:t>auditorías</w:t>
      </w:r>
      <w:r w:rsidRPr="00B92499">
        <w:rPr>
          <w:rFonts w:ascii="Arial" w:hAnsi="Arial" w:cs="Arial"/>
          <w:sz w:val="24"/>
          <w:szCs w:val="24"/>
          <w:lang w:val="es-ES_tradnl"/>
        </w:rPr>
        <w:t>. El área de oportunidad de las alcaldías respecto de esta fracción es actualizar la información conforme indica la normatividad vigente.</w:t>
      </w:r>
    </w:p>
    <w:p w14:paraId="4BD325D0" w14:textId="77777777" w:rsidR="00B671B7" w:rsidRPr="00B92499" w:rsidRDefault="00B671B7" w:rsidP="009F64B5">
      <w:pPr>
        <w:pStyle w:val="Prrafodelista"/>
        <w:numPr>
          <w:ilvl w:val="0"/>
          <w:numId w:val="1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XXVIII, con un ICP de 79.49% en la cual está señalada la obligación de publicar </w:t>
      </w:r>
      <w:r w:rsidRPr="00B92499">
        <w:rPr>
          <w:rFonts w:ascii="Arial" w:hAnsi="Arial" w:cs="Arial"/>
          <w:color w:val="000000"/>
          <w:sz w:val="24"/>
          <w:szCs w:val="24"/>
          <w:lang w:val="es-ES_tradnl"/>
        </w:rPr>
        <w:t>los montos, criterios, convocatoria y convocatorias de personas físicas y morales que reciban recursos públicos o realicen actos de autoridad</w:t>
      </w:r>
      <w:r w:rsidRPr="00B92499">
        <w:rPr>
          <w:rFonts w:ascii="Arial" w:hAnsi="Arial" w:cs="Arial"/>
          <w:sz w:val="24"/>
          <w:szCs w:val="24"/>
          <w:lang w:val="es-ES_tradnl"/>
        </w:rPr>
        <w:t>. El área de oportunidad de las alcaldías respecto de esta fracción es actualizar la información conforme indica la normatividad vigente.</w:t>
      </w:r>
    </w:p>
    <w:p w14:paraId="090DDDCD" w14:textId="117217EB" w:rsidR="00074700" w:rsidRPr="00B92499" w:rsidRDefault="00940CBA" w:rsidP="00074700">
      <w:pPr>
        <w:spacing w:before="100" w:beforeAutospacing="1" w:after="100" w:afterAutospacing="1" w:line="360" w:lineRule="auto"/>
        <w:contextualSpacing/>
        <w:jc w:val="both"/>
        <w:rPr>
          <w:rFonts w:ascii="Arial" w:hAnsi="Arial" w:cs="Arial"/>
        </w:rPr>
      </w:pPr>
      <w:r w:rsidRPr="00B92499">
        <w:rPr>
          <w:rFonts w:ascii="Arial" w:hAnsi="Arial" w:cs="Arial"/>
        </w:rPr>
        <w:t>De igual forma, las</w:t>
      </w:r>
      <w:r w:rsidR="000D67A7" w:rsidRPr="00B92499">
        <w:rPr>
          <w:rFonts w:ascii="Arial" w:hAnsi="Arial" w:cs="Arial"/>
        </w:rPr>
        <w:t xml:space="preserve"> 5</w:t>
      </w:r>
      <w:r w:rsidRPr="00B92499">
        <w:rPr>
          <w:rFonts w:ascii="Arial" w:hAnsi="Arial" w:cs="Arial"/>
        </w:rPr>
        <w:t xml:space="preserve"> fracciones con un ICP ubicadas en el rango de </w:t>
      </w:r>
      <w:r w:rsidR="00074700" w:rsidRPr="00B92499">
        <w:rPr>
          <w:rFonts w:ascii="Arial" w:hAnsi="Arial" w:cs="Arial"/>
        </w:rPr>
        <w:t>95% y 99.96</w:t>
      </w:r>
      <w:r w:rsidRPr="00B92499">
        <w:rPr>
          <w:rFonts w:ascii="Arial" w:hAnsi="Arial" w:cs="Arial"/>
        </w:rPr>
        <w:t>% son las que se detallan a continuación:</w:t>
      </w:r>
    </w:p>
    <w:p w14:paraId="7402B1A6" w14:textId="47C4101F" w:rsidR="00074700" w:rsidRPr="00B92499" w:rsidRDefault="00074700" w:rsidP="00074700">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XVII, con un ICP de 95% en la cual</w:t>
      </w:r>
      <w:r w:rsidR="00773979" w:rsidRPr="00B92499">
        <w:rPr>
          <w:rFonts w:ascii="Arial" w:hAnsi="Arial" w:cs="Arial"/>
          <w:sz w:val="24"/>
          <w:szCs w:val="24"/>
          <w:lang w:val="es-ES_tradnl"/>
        </w:rPr>
        <w:t xml:space="preserve"> se mandata la publicación de los currículos de las personas servidoras públicas desde las jefaturas de departamento hasta el titular del </w:t>
      </w:r>
      <w:r w:rsidR="008710F6" w:rsidRPr="00B92499">
        <w:rPr>
          <w:rFonts w:ascii="Arial" w:hAnsi="Arial" w:cs="Arial"/>
          <w:sz w:val="24"/>
          <w:szCs w:val="24"/>
          <w:lang w:val="es-ES_tradnl"/>
        </w:rPr>
        <w:t>sujeto obligado</w:t>
      </w:r>
      <w:r w:rsidR="00773979" w:rsidRPr="00B92499">
        <w:rPr>
          <w:rFonts w:ascii="Arial" w:hAnsi="Arial" w:cs="Arial"/>
          <w:sz w:val="24"/>
          <w:szCs w:val="24"/>
          <w:lang w:val="es-ES_tradnl"/>
        </w:rPr>
        <w:t xml:space="preserve">. </w:t>
      </w:r>
    </w:p>
    <w:p w14:paraId="266625A4" w14:textId="77777777" w:rsidR="00074700" w:rsidRPr="00B92499" w:rsidRDefault="00074700" w:rsidP="00074700">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XX, con un ICP de 95.14% en la cual</w:t>
      </w:r>
      <w:r w:rsidR="00773979" w:rsidRPr="00B92499">
        <w:rPr>
          <w:rFonts w:ascii="Arial" w:hAnsi="Arial" w:cs="Arial"/>
          <w:sz w:val="24"/>
          <w:szCs w:val="24"/>
          <w:lang w:val="es-ES_tradnl"/>
        </w:rPr>
        <w:t xml:space="preserve"> es señalada la obligación de publicar los trámites que se ofrecen y los requisitos para los mismos. </w:t>
      </w:r>
    </w:p>
    <w:p w14:paraId="37BED3A1" w14:textId="77777777" w:rsidR="00074700" w:rsidRPr="00B92499" w:rsidRDefault="00074700" w:rsidP="00074700">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Fracción XIX, con un ICP de 95.96% en la cual</w:t>
      </w:r>
      <w:r w:rsidR="00773979" w:rsidRPr="00B92499">
        <w:rPr>
          <w:rFonts w:ascii="Arial" w:hAnsi="Arial" w:cs="Arial"/>
          <w:sz w:val="24"/>
          <w:szCs w:val="24"/>
          <w:lang w:val="es-ES_tradnl"/>
        </w:rPr>
        <w:t xml:space="preserve"> se mandata la publicación de los servicios que ofrecen y requisitos para acceder a ellos. </w:t>
      </w:r>
    </w:p>
    <w:p w14:paraId="2EC9932B" w14:textId="77777777" w:rsidR="00074700" w:rsidRPr="00B92499" w:rsidRDefault="00074700" w:rsidP="00074700">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LI, con un ICP de 98.59% en la cua</w:t>
      </w:r>
      <w:r w:rsidR="00773979" w:rsidRPr="00B92499">
        <w:rPr>
          <w:rFonts w:ascii="Arial" w:hAnsi="Arial" w:cs="Arial"/>
          <w:sz w:val="24"/>
          <w:szCs w:val="24"/>
          <w:lang w:val="es-ES_tradnl"/>
        </w:rPr>
        <w:t>l es señalada la obligación de publicar un listado de solicitudes a las empresas concesionarias de telecomunicaciones y proveedoras de servicios de internet para la intervención de comunicaciones y la geolocalización.</w:t>
      </w:r>
    </w:p>
    <w:p w14:paraId="061F9DA2" w14:textId="77777777" w:rsidR="00D2376D" w:rsidRPr="00B92499" w:rsidRDefault="00074700" w:rsidP="00074700">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XIV, con un ICP de 99.96% en la cual</w:t>
      </w:r>
      <w:r w:rsidR="00773979" w:rsidRPr="00B92499">
        <w:rPr>
          <w:rFonts w:ascii="Arial" w:hAnsi="Arial" w:cs="Arial"/>
          <w:sz w:val="24"/>
          <w:szCs w:val="24"/>
          <w:lang w:val="es-ES_tradnl"/>
        </w:rPr>
        <w:t xml:space="preserve"> se mandata la publicación del domicilio de la Unidad de Transparencia. </w:t>
      </w:r>
    </w:p>
    <w:p w14:paraId="05EF0E7F" w14:textId="13A1338E" w:rsidR="00074700" w:rsidRPr="00B92499" w:rsidRDefault="00735992" w:rsidP="00074700">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121 es presentada la siguiente tabla ordenada de forma descendente.</w:t>
      </w:r>
    </w:p>
    <w:tbl>
      <w:tblPr>
        <w:tblW w:w="8926" w:type="dxa"/>
        <w:tblCellMar>
          <w:left w:w="70" w:type="dxa"/>
          <w:right w:w="70" w:type="dxa"/>
        </w:tblCellMar>
        <w:tblLook w:val="04A0" w:firstRow="1" w:lastRow="0" w:firstColumn="1" w:lastColumn="0" w:noHBand="0" w:noVBand="1"/>
      </w:tblPr>
      <w:tblGrid>
        <w:gridCol w:w="974"/>
        <w:gridCol w:w="7101"/>
        <w:gridCol w:w="852"/>
      </w:tblGrid>
      <w:tr w:rsidR="00074700" w:rsidRPr="00B92499" w14:paraId="429ACF89" w14:textId="77777777" w:rsidTr="00773979">
        <w:trPr>
          <w:trHeight w:val="20"/>
          <w:tblHeader/>
        </w:trPr>
        <w:tc>
          <w:tcPr>
            <w:tcW w:w="8926"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F0BCBEB" w14:textId="20DA9F76" w:rsidR="00074700" w:rsidRPr="00B92499" w:rsidRDefault="00074700" w:rsidP="00074700">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074700" w:rsidRPr="00B92499" w14:paraId="4096728A" w14:textId="77777777" w:rsidTr="00773979">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48189A74" w14:textId="77777777" w:rsidR="00074700" w:rsidRPr="00B92499" w:rsidRDefault="00074700" w:rsidP="00074700">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72EA2C41" w14:textId="77777777" w:rsidR="00074700" w:rsidRPr="00B92499" w:rsidRDefault="00074700" w:rsidP="00074700">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234" w:type="dxa"/>
            <w:tcBorders>
              <w:top w:val="nil"/>
              <w:left w:val="nil"/>
              <w:bottom w:val="single" w:sz="4" w:space="0" w:color="auto"/>
              <w:right w:val="single" w:sz="4" w:space="0" w:color="auto"/>
            </w:tcBorders>
            <w:shd w:val="clear" w:color="auto" w:fill="00B0F0"/>
            <w:vAlign w:val="center"/>
            <w:hideMark/>
          </w:tcPr>
          <w:p w14:paraId="1CB0AAD5" w14:textId="77777777" w:rsidR="00074700" w:rsidRPr="00B92499" w:rsidRDefault="004C25C5" w:rsidP="00074700">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074700" w:rsidRPr="00B92499" w14:paraId="09380994"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B4E4B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44B6E605"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1234" w:type="dxa"/>
            <w:tcBorders>
              <w:top w:val="nil"/>
              <w:left w:val="nil"/>
              <w:bottom w:val="single" w:sz="4" w:space="0" w:color="auto"/>
              <w:right w:val="single" w:sz="4" w:space="0" w:color="auto"/>
            </w:tcBorders>
            <w:shd w:val="clear" w:color="auto" w:fill="auto"/>
            <w:vAlign w:val="center"/>
            <w:hideMark/>
          </w:tcPr>
          <w:p w14:paraId="37A327B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99.96</w:t>
            </w:r>
          </w:p>
        </w:tc>
      </w:tr>
      <w:tr w:rsidR="00074700" w:rsidRPr="00B92499" w14:paraId="151D4E7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D421A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LI</w:t>
            </w:r>
          </w:p>
        </w:tc>
        <w:tc>
          <w:tcPr>
            <w:tcW w:w="0" w:type="auto"/>
            <w:tcBorders>
              <w:top w:val="nil"/>
              <w:left w:val="nil"/>
              <w:bottom w:val="single" w:sz="4" w:space="0" w:color="auto"/>
              <w:right w:val="single" w:sz="4" w:space="0" w:color="auto"/>
            </w:tcBorders>
            <w:shd w:val="clear" w:color="auto" w:fill="auto"/>
            <w:vAlign w:val="center"/>
            <w:hideMark/>
          </w:tcPr>
          <w:p w14:paraId="761C9215"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Listado de solicitudes a las empresas concesionarias de telecomunicaciones y proveedores de servicios de internet para la intervención de comunicaciones y la geolocalización.</w:t>
            </w:r>
          </w:p>
        </w:tc>
        <w:tc>
          <w:tcPr>
            <w:tcW w:w="1234" w:type="dxa"/>
            <w:tcBorders>
              <w:top w:val="nil"/>
              <w:left w:val="nil"/>
              <w:bottom w:val="single" w:sz="4" w:space="0" w:color="auto"/>
              <w:right w:val="single" w:sz="4" w:space="0" w:color="auto"/>
            </w:tcBorders>
            <w:shd w:val="clear" w:color="auto" w:fill="auto"/>
            <w:vAlign w:val="center"/>
            <w:hideMark/>
          </w:tcPr>
          <w:p w14:paraId="411D1E39"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98.59</w:t>
            </w:r>
          </w:p>
        </w:tc>
      </w:tr>
      <w:tr w:rsidR="00074700" w:rsidRPr="00B92499" w14:paraId="36683E2F"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5727CF"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4A9EF31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1234" w:type="dxa"/>
            <w:tcBorders>
              <w:top w:val="nil"/>
              <w:left w:val="nil"/>
              <w:bottom w:val="single" w:sz="4" w:space="0" w:color="auto"/>
              <w:right w:val="single" w:sz="4" w:space="0" w:color="auto"/>
            </w:tcBorders>
            <w:shd w:val="clear" w:color="auto" w:fill="auto"/>
            <w:vAlign w:val="center"/>
            <w:hideMark/>
          </w:tcPr>
          <w:p w14:paraId="4EE15AE1"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95.96</w:t>
            </w:r>
          </w:p>
        </w:tc>
      </w:tr>
      <w:tr w:rsidR="00074700" w:rsidRPr="00B92499" w14:paraId="3DE773F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65FBF"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533417F3"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Trámites que ofrecen y requisitos.</w:t>
            </w:r>
          </w:p>
        </w:tc>
        <w:tc>
          <w:tcPr>
            <w:tcW w:w="1234" w:type="dxa"/>
            <w:tcBorders>
              <w:top w:val="nil"/>
              <w:left w:val="nil"/>
              <w:bottom w:val="single" w:sz="4" w:space="0" w:color="auto"/>
              <w:right w:val="single" w:sz="4" w:space="0" w:color="auto"/>
            </w:tcBorders>
            <w:shd w:val="clear" w:color="auto" w:fill="auto"/>
            <w:vAlign w:val="center"/>
            <w:hideMark/>
          </w:tcPr>
          <w:p w14:paraId="10879EE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95.14</w:t>
            </w:r>
          </w:p>
        </w:tc>
      </w:tr>
      <w:tr w:rsidR="00074700" w:rsidRPr="00B92499" w14:paraId="2EF862E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5863C1"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20F7D694"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CV de jefe de departamento para arriba.</w:t>
            </w:r>
          </w:p>
        </w:tc>
        <w:tc>
          <w:tcPr>
            <w:tcW w:w="1234" w:type="dxa"/>
            <w:tcBorders>
              <w:top w:val="nil"/>
              <w:left w:val="nil"/>
              <w:bottom w:val="single" w:sz="4" w:space="0" w:color="auto"/>
              <w:right w:val="single" w:sz="4" w:space="0" w:color="auto"/>
            </w:tcBorders>
            <w:shd w:val="clear" w:color="auto" w:fill="auto"/>
            <w:vAlign w:val="center"/>
            <w:hideMark/>
          </w:tcPr>
          <w:p w14:paraId="5EEFC228"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95.00</w:t>
            </w:r>
          </w:p>
        </w:tc>
      </w:tr>
      <w:tr w:rsidR="00074700" w:rsidRPr="00B92499" w14:paraId="7E6DB3CD"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F81B9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0E47C64E"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Remuneraciones mensual bruta y neta</w:t>
            </w:r>
          </w:p>
        </w:tc>
        <w:tc>
          <w:tcPr>
            <w:tcW w:w="1234" w:type="dxa"/>
            <w:tcBorders>
              <w:top w:val="nil"/>
              <w:left w:val="nil"/>
              <w:bottom w:val="single" w:sz="4" w:space="0" w:color="auto"/>
              <w:right w:val="single" w:sz="4" w:space="0" w:color="auto"/>
            </w:tcBorders>
            <w:shd w:val="clear" w:color="auto" w:fill="auto"/>
            <w:vAlign w:val="center"/>
            <w:hideMark/>
          </w:tcPr>
          <w:p w14:paraId="728F4C4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94.96</w:t>
            </w:r>
          </w:p>
        </w:tc>
      </w:tr>
      <w:tr w:rsidR="00074700" w:rsidRPr="00B92499" w14:paraId="1836856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97BD4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454525B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Padrón de proveedores y contratistas.</w:t>
            </w:r>
          </w:p>
        </w:tc>
        <w:tc>
          <w:tcPr>
            <w:tcW w:w="1234" w:type="dxa"/>
            <w:tcBorders>
              <w:top w:val="nil"/>
              <w:left w:val="nil"/>
              <w:bottom w:val="single" w:sz="4" w:space="0" w:color="auto"/>
              <w:right w:val="single" w:sz="4" w:space="0" w:color="auto"/>
            </w:tcBorders>
            <w:shd w:val="clear" w:color="auto" w:fill="auto"/>
            <w:vAlign w:val="center"/>
            <w:hideMark/>
          </w:tcPr>
          <w:p w14:paraId="08C5681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94.06</w:t>
            </w:r>
          </w:p>
        </w:tc>
      </w:tr>
      <w:tr w:rsidR="00074700" w:rsidRPr="00B92499" w14:paraId="042B4C16"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A7CA5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0609EE88"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Lista con el importe con el concepto de viáticos.</w:t>
            </w:r>
          </w:p>
        </w:tc>
        <w:tc>
          <w:tcPr>
            <w:tcW w:w="1234" w:type="dxa"/>
            <w:tcBorders>
              <w:top w:val="nil"/>
              <w:left w:val="nil"/>
              <w:bottom w:val="single" w:sz="4" w:space="0" w:color="auto"/>
              <w:right w:val="single" w:sz="4" w:space="0" w:color="auto"/>
            </w:tcBorders>
            <w:shd w:val="clear" w:color="auto" w:fill="auto"/>
            <w:vAlign w:val="center"/>
            <w:hideMark/>
          </w:tcPr>
          <w:p w14:paraId="46108E2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93.91</w:t>
            </w:r>
          </w:p>
        </w:tc>
      </w:tr>
      <w:tr w:rsidR="00074700" w:rsidRPr="00B92499" w14:paraId="19DA001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12A583"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LIII</w:t>
            </w:r>
          </w:p>
        </w:tc>
        <w:tc>
          <w:tcPr>
            <w:tcW w:w="0" w:type="auto"/>
            <w:tcBorders>
              <w:top w:val="nil"/>
              <w:left w:val="nil"/>
              <w:bottom w:val="single" w:sz="4" w:space="0" w:color="auto"/>
              <w:right w:val="single" w:sz="4" w:space="0" w:color="auto"/>
            </w:tcBorders>
            <w:shd w:val="clear" w:color="auto" w:fill="auto"/>
            <w:vAlign w:val="center"/>
            <w:hideMark/>
          </w:tcPr>
          <w:p w14:paraId="42644AF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La ubicación de todas las obras públicas.</w:t>
            </w:r>
          </w:p>
        </w:tc>
        <w:tc>
          <w:tcPr>
            <w:tcW w:w="1234" w:type="dxa"/>
            <w:tcBorders>
              <w:top w:val="nil"/>
              <w:left w:val="nil"/>
              <w:bottom w:val="single" w:sz="4" w:space="0" w:color="auto"/>
              <w:right w:val="single" w:sz="4" w:space="0" w:color="auto"/>
            </w:tcBorders>
            <w:shd w:val="clear" w:color="auto" w:fill="auto"/>
            <w:vAlign w:val="center"/>
            <w:hideMark/>
          </w:tcPr>
          <w:p w14:paraId="1C9BA372"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93.83</w:t>
            </w:r>
          </w:p>
        </w:tc>
      </w:tr>
      <w:tr w:rsidR="00074700" w:rsidRPr="00B92499" w14:paraId="53A579F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433F1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3DD9089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Indicadores de temas de interés público.</w:t>
            </w:r>
          </w:p>
        </w:tc>
        <w:tc>
          <w:tcPr>
            <w:tcW w:w="1234" w:type="dxa"/>
            <w:tcBorders>
              <w:top w:val="nil"/>
              <w:left w:val="nil"/>
              <w:bottom w:val="single" w:sz="4" w:space="0" w:color="auto"/>
              <w:right w:val="single" w:sz="4" w:space="0" w:color="auto"/>
            </w:tcBorders>
            <w:shd w:val="clear" w:color="auto" w:fill="auto"/>
            <w:vAlign w:val="center"/>
            <w:hideMark/>
          </w:tcPr>
          <w:p w14:paraId="4A2A4BA9"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93.38</w:t>
            </w:r>
          </w:p>
        </w:tc>
      </w:tr>
      <w:tr w:rsidR="00074700" w:rsidRPr="00B92499" w14:paraId="7B67C43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413C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64B885F9"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Programas Operativos Anuales y de trabajo.</w:t>
            </w:r>
          </w:p>
        </w:tc>
        <w:tc>
          <w:tcPr>
            <w:tcW w:w="1234" w:type="dxa"/>
            <w:tcBorders>
              <w:top w:val="nil"/>
              <w:left w:val="nil"/>
              <w:bottom w:val="single" w:sz="4" w:space="0" w:color="auto"/>
              <w:right w:val="single" w:sz="4" w:space="0" w:color="auto"/>
            </w:tcBorders>
            <w:shd w:val="clear" w:color="auto" w:fill="auto"/>
            <w:vAlign w:val="center"/>
            <w:hideMark/>
          </w:tcPr>
          <w:p w14:paraId="15F88DE2"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93.35</w:t>
            </w:r>
          </w:p>
        </w:tc>
      </w:tr>
      <w:tr w:rsidR="00074700" w:rsidRPr="00B92499" w14:paraId="59F1250D"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DF0C6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45ECB672"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1234" w:type="dxa"/>
            <w:tcBorders>
              <w:top w:val="nil"/>
              <w:left w:val="nil"/>
              <w:bottom w:val="single" w:sz="4" w:space="0" w:color="auto"/>
              <w:right w:val="single" w:sz="4" w:space="0" w:color="auto"/>
            </w:tcBorders>
            <w:shd w:val="clear" w:color="auto" w:fill="auto"/>
            <w:vAlign w:val="center"/>
            <w:hideMark/>
          </w:tcPr>
          <w:p w14:paraId="25200F21"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93.32</w:t>
            </w:r>
          </w:p>
        </w:tc>
      </w:tr>
      <w:tr w:rsidR="00074700" w:rsidRPr="00B92499" w14:paraId="5AEE7ED7"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27492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XXXIX</w:t>
            </w:r>
          </w:p>
        </w:tc>
        <w:tc>
          <w:tcPr>
            <w:tcW w:w="0" w:type="auto"/>
            <w:tcBorders>
              <w:top w:val="nil"/>
              <w:left w:val="nil"/>
              <w:bottom w:val="single" w:sz="4" w:space="0" w:color="auto"/>
              <w:right w:val="single" w:sz="4" w:space="0" w:color="auto"/>
            </w:tcBorders>
            <w:shd w:val="clear" w:color="auto" w:fill="auto"/>
            <w:vAlign w:val="center"/>
            <w:hideMark/>
          </w:tcPr>
          <w:p w14:paraId="652F1AF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Resoluciones y laudos que se emitan en procesos seguidos en forma de juicio.</w:t>
            </w:r>
          </w:p>
        </w:tc>
        <w:tc>
          <w:tcPr>
            <w:tcW w:w="1234" w:type="dxa"/>
            <w:tcBorders>
              <w:top w:val="nil"/>
              <w:left w:val="nil"/>
              <w:bottom w:val="single" w:sz="4" w:space="0" w:color="auto"/>
              <w:right w:val="single" w:sz="4" w:space="0" w:color="auto"/>
            </w:tcBorders>
            <w:shd w:val="clear" w:color="auto" w:fill="auto"/>
            <w:vAlign w:val="center"/>
            <w:hideMark/>
          </w:tcPr>
          <w:p w14:paraId="5B294FF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91.77</w:t>
            </w:r>
          </w:p>
        </w:tc>
      </w:tr>
      <w:tr w:rsidR="00074700" w:rsidRPr="00B92499" w14:paraId="52A55D4C"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4E77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27B035D1"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Indicadores que permitan rendir cuentas.</w:t>
            </w:r>
          </w:p>
        </w:tc>
        <w:tc>
          <w:tcPr>
            <w:tcW w:w="1234" w:type="dxa"/>
            <w:tcBorders>
              <w:top w:val="nil"/>
              <w:left w:val="nil"/>
              <w:bottom w:val="single" w:sz="4" w:space="0" w:color="auto"/>
              <w:right w:val="single" w:sz="4" w:space="0" w:color="auto"/>
            </w:tcBorders>
            <w:shd w:val="clear" w:color="auto" w:fill="auto"/>
            <w:vAlign w:val="center"/>
            <w:hideMark/>
          </w:tcPr>
          <w:p w14:paraId="2E0D6340"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91.12</w:t>
            </w:r>
          </w:p>
        </w:tc>
      </w:tr>
      <w:tr w:rsidR="00074700" w:rsidRPr="00B92499" w14:paraId="22266558"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F91EA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XLVIII</w:t>
            </w:r>
          </w:p>
        </w:tc>
        <w:tc>
          <w:tcPr>
            <w:tcW w:w="0" w:type="auto"/>
            <w:tcBorders>
              <w:top w:val="nil"/>
              <w:left w:val="nil"/>
              <w:bottom w:val="single" w:sz="4" w:space="0" w:color="auto"/>
              <w:right w:val="single" w:sz="4" w:space="0" w:color="auto"/>
            </w:tcBorders>
            <w:shd w:val="clear" w:color="auto" w:fill="auto"/>
            <w:vAlign w:val="center"/>
            <w:hideMark/>
          </w:tcPr>
          <w:p w14:paraId="6C19B1AD"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Donaciones en dinero o especie hechas por terceros.</w:t>
            </w:r>
          </w:p>
        </w:tc>
        <w:tc>
          <w:tcPr>
            <w:tcW w:w="1234" w:type="dxa"/>
            <w:tcBorders>
              <w:top w:val="nil"/>
              <w:left w:val="nil"/>
              <w:bottom w:val="single" w:sz="4" w:space="0" w:color="auto"/>
              <w:right w:val="single" w:sz="4" w:space="0" w:color="auto"/>
            </w:tcBorders>
            <w:shd w:val="clear" w:color="auto" w:fill="auto"/>
            <w:vAlign w:val="center"/>
            <w:hideMark/>
          </w:tcPr>
          <w:p w14:paraId="30C21ED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91.05</w:t>
            </w:r>
          </w:p>
        </w:tc>
      </w:tr>
      <w:tr w:rsidR="00074700" w:rsidRPr="00B92499" w14:paraId="3CA26001"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0A93C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4ED3CC4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Declaraciones 3de3.</w:t>
            </w:r>
          </w:p>
        </w:tc>
        <w:tc>
          <w:tcPr>
            <w:tcW w:w="1234" w:type="dxa"/>
            <w:tcBorders>
              <w:top w:val="nil"/>
              <w:left w:val="nil"/>
              <w:bottom w:val="single" w:sz="4" w:space="0" w:color="auto"/>
              <w:right w:val="single" w:sz="4" w:space="0" w:color="auto"/>
            </w:tcBorders>
            <w:shd w:val="clear" w:color="auto" w:fill="auto"/>
            <w:vAlign w:val="center"/>
            <w:hideMark/>
          </w:tcPr>
          <w:p w14:paraId="2E4F8B5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90.78</w:t>
            </w:r>
          </w:p>
        </w:tc>
      </w:tr>
      <w:tr w:rsidR="00074700" w:rsidRPr="00B92499" w14:paraId="64107473"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49CB73"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XXXVII</w:t>
            </w:r>
          </w:p>
        </w:tc>
        <w:tc>
          <w:tcPr>
            <w:tcW w:w="0" w:type="auto"/>
            <w:tcBorders>
              <w:top w:val="nil"/>
              <w:left w:val="nil"/>
              <w:bottom w:val="single" w:sz="4" w:space="0" w:color="auto"/>
              <w:right w:val="single" w:sz="4" w:space="0" w:color="auto"/>
            </w:tcBorders>
            <w:shd w:val="clear" w:color="auto" w:fill="auto"/>
            <w:vAlign w:val="center"/>
            <w:hideMark/>
          </w:tcPr>
          <w:p w14:paraId="760EC062" w14:textId="1284E46E"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al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r w:rsidR="0069524E" w:rsidRPr="00B92499">
              <w:rPr>
                <w:rFonts w:ascii="Arial" w:hAnsi="Arial" w:cs="Arial"/>
                <w:color w:val="000000"/>
                <w:sz w:val="20"/>
                <w:szCs w:val="20"/>
              </w:rPr>
              <w:t xml:space="preserve">por </w:t>
            </w:r>
            <w:r w:rsidRPr="00B92499">
              <w:rPr>
                <w:rFonts w:ascii="Arial" w:hAnsi="Arial" w:cs="Arial"/>
                <w:color w:val="000000"/>
                <w:sz w:val="20"/>
                <w:szCs w:val="20"/>
              </w:rPr>
              <w:t>la CDHCDMX.</w:t>
            </w:r>
          </w:p>
        </w:tc>
        <w:tc>
          <w:tcPr>
            <w:tcW w:w="1234" w:type="dxa"/>
            <w:tcBorders>
              <w:top w:val="nil"/>
              <w:left w:val="nil"/>
              <w:bottom w:val="single" w:sz="4" w:space="0" w:color="auto"/>
              <w:right w:val="single" w:sz="4" w:space="0" w:color="auto"/>
            </w:tcBorders>
            <w:shd w:val="clear" w:color="auto" w:fill="auto"/>
            <w:vAlign w:val="center"/>
            <w:hideMark/>
          </w:tcPr>
          <w:p w14:paraId="2EF765F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90.36</w:t>
            </w:r>
          </w:p>
        </w:tc>
      </w:tr>
      <w:tr w:rsidR="00074700" w:rsidRPr="00B92499" w14:paraId="4E3981F9"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503BF0"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2F18501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Estructura orgánica.</w:t>
            </w:r>
          </w:p>
        </w:tc>
        <w:tc>
          <w:tcPr>
            <w:tcW w:w="1234" w:type="dxa"/>
            <w:tcBorders>
              <w:top w:val="nil"/>
              <w:left w:val="nil"/>
              <w:bottom w:val="single" w:sz="4" w:space="0" w:color="auto"/>
              <w:right w:val="single" w:sz="4" w:space="0" w:color="auto"/>
            </w:tcBorders>
            <w:shd w:val="clear" w:color="auto" w:fill="auto"/>
            <w:vAlign w:val="center"/>
            <w:hideMark/>
          </w:tcPr>
          <w:p w14:paraId="52C4428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90.21</w:t>
            </w:r>
          </w:p>
        </w:tc>
      </w:tr>
      <w:tr w:rsidR="00074700" w:rsidRPr="00B92499" w14:paraId="343299FC"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3BFF22"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0BB76E62"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Información relativa a la cuenta y deuda públicas.</w:t>
            </w:r>
          </w:p>
        </w:tc>
        <w:tc>
          <w:tcPr>
            <w:tcW w:w="1234" w:type="dxa"/>
            <w:tcBorders>
              <w:top w:val="nil"/>
              <w:left w:val="nil"/>
              <w:bottom w:val="single" w:sz="4" w:space="0" w:color="auto"/>
              <w:right w:val="single" w:sz="4" w:space="0" w:color="auto"/>
            </w:tcBorders>
            <w:shd w:val="clear" w:color="auto" w:fill="auto"/>
            <w:vAlign w:val="center"/>
            <w:hideMark/>
          </w:tcPr>
          <w:p w14:paraId="17124D7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90.11</w:t>
            </w:r>
          </w:p>
        </w:tc>
      </w:tr>
      <w:tr w:rsidR="00074700" w:rsidRPr="00B92499" w14:paraId="7C709A0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A248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w:t>
            </w:r>
          </w:p>
        </w:tc>
        <w:tc>
          <w:tcPr>
            <w:tcW w:w="0" w:type="auto"/>
            <w:tcBorders>
              <w:top w:val="nil"/>
              <w:left w:val="nil"/>
              <w:bottom w:val="single" w:sz="4" w:space="0" w:color="auto"/>
              <w:right w:val="single" w:sz="4" w:space="0" w:color="auto"/>
            </w:tcBorders>
            <w:shd w:val="clear" w:color="auto" w:fill="auto"/>
            <w:vAlign w:val="center"/>
            <w:hideMark/>
          </w:tcPr>
          <w:p w14:paraId="7B68098F"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Mecanismos de participación ciudadana.</w:t>
            </w:r>
          </w:p>
        </w:tc>
        <w:tc>
          <w:tcPr>
            <w:tcW w:w="1234" w:type="dxa"/>
            <w:tcBorders>
              <w:top w:val="nil"/>
              <w:left w:val="nil"/>
              <w:bottom w:val="single" w:sz="4" w:space="0" w:color="auto"/>
              <w:right w:val="single" w:sz="4" w:space="0" w:color="auto"/>
            </w:tcBorders>
            <w:shd w:val="clear" w:color="auto" w:fill="auto"/>
            <w:vAlign w:val="center"/>
            <w:hideMark/>
          </w:tcPr>
          <w:p w14:paraId="6143ADD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90.09</w:t>
            </w:r>
          </w:p>
        </w:tc>
      </w:tr>
      <w:tr w:rsidR="00074700" w:rsidRPr="00B92499" w14:paraId="144BB98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D1A343"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3370F51E"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Directorio del área.</w:t>
            </w:r>
          </w:p>
        </w:tc>
        <w:tc>
          <w:tcPr>
            <w:tcW w:w="1234" w:type="dxa"/>
            <w:tcBorders>
              <w:top w:val="nil"/>
              <w:left w:val="nil"/>
              <w:bottom w:val="single" w:sz="4" w:space="0" w:color="auto"/>
              <w:right w:val="single" w:sz="4" w:space="0" w:color="auto"/>
            </w:tcBorders>
            <w:shd w:val="clear" w:color="auto" w:fill="auto"/>
            <w:vAlign w:val="center"/>
            <w:hideMark/>
          </w:tcPr>
          <w:p w14:paraId="0F78471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89.79</w:t>
            </w:r>
          </w:p>
        </w:tc>
      </w:tr>
      <w:tr w:rsidR="00074700" w:rsidRPr="00B92499" w14:paraId="21ACC147"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198C7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472FA1CD"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Número tal de plazas y tipos.</w:t>
            </w:r>
          </w:p>
        </w:tc>
        <w:tc>
          <w:tcPr>
            <w:tcW w:w="1234" w:type="dxa"/>
            <w:tcBorders>
              <w:top w:val="nil"/>
              <w:left w:val="nil"/>
              <w:bottom w:val="single" w:sz="4" w:space="0" w:color="auto"/>
              <w:right w:val="single" w:sz="4" w:space="0" w:color="auto"/>
            </w:tcBorders>
            <w:shd w:val="clear" w:color="auto" w:fill="auto"/>
            <w:vAlign w:val="center"/>
            <w:hideMark/>
          </w:tcPr>
          <w:p w14:paraId="095F221F"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89.71</w:t>
            </w:r>
          </w:p>
        </w:tc>
      </w:tr>
      <w:tr w:rsidR="00074700" w:rsidRPr="00B92499" w14:paraId="0E425B7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7F753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63C1AB0E" w14:textId="0DDDE008"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 xml:space="preserve">Informes que debe 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1234" w:type="dxa"/>
            <w:tcBorders>
              <w:top w:val="nil"/>
              <w:left w:val="nil"/>
              <w:bottom w:val="single" w:sz="4" w:space="0" w:color="auto"/>
              <w:right w:val="single" w:sz="4" w:space="0" w:color="auto"/>
            </w:tcBorders>
            <w:shd w:val="clear" w:color="auto" w:fill="auto"/>
            <w:vAlign w:val="center"/>
            <w:hideMark/>
          </w:tcPr>
          <w:p w14:paraId="17CC28B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89.43</w:t>
            </w:r>
          </w:p>
        </w:tc>
      </w:tr>
      <w:tr w:rsidR="00074700" w:rsidRPr="00B92499" w14:paraId="17F80CF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BB57B8"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0820FAE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Resultados de procedimiento de adjudicación directa, invitación restringida y licitación.</w:t>
            </w:r>
          </w:p>
        </w:tc>
        <w:tc>
          <w:tcPr>
            <w:tcW w:w="1234" w:type="dxa"/>
            <w:tcBorders>
              <w:top w:val="nil"/>
              <w:left w:val="nil"/>
              <w:bottom w:val="single" w:sz="4" w:space="0" w:color="auto"/>
              <w:right w:val="single" w:sz="4" w:space="0" w:color="auto"/>
            </w:tcBorders>
            <w:shd w:val="clear" w:color="auto" w:fill="auto"/>
            <w:vAlign w:val="center"/>
            <w:hideMark/>
          </w:tcPr>
          <w:p w14:paraId="74450C5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89.39</w:t>
            </w:r>
          </w:p>
        </w:tc>
      </w:tr>
      <w:tr w:rsidR="00074700" w:rsidRPr="00B92499" w14:paraId="0EF23E5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16877F"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5558E136"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Información curricular y perfil de puestos.</w:t>
            </w:r>
          </w:p>
        </w:tc>
        <w:tc>
          <w:tcPr>
            <w:tcW w:w="1234" w:type="dxa"/>
            <w:tcBorders>
              <w:top w:val="nil"/>
              <w:left w:val="nil"/>
              <w:bottom w:val="single" w:sz="4" w:space="0" w:color="auto"/>
              <w:right w:val="single" w:sz="4" w:space="0" w:color="auto"/>
            </w:tcBorders>
            <w:shd w:val="clear" w:color="auto" w:fill="auto"/>
            <w:vAlign w:val="center"/>
            <w:hideMark/>
          </w:tcPr>
          <w:p w14:paraId="4DC4B8C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89.34</w:t>
            </w:r>
          </w:p>
        </w:tc>
      </w:tr>
      <w:tr w:rsidR="00074700" w:rsidRPr="00B92499" w14:paraId="1C3B3427"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4DFCA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lastRenderedPageBreak/>
              <w:t>XVI</w:t>
            </w:r>
          </w:p>
        </w:tc>
        <w:tc>
          <w:tcPr>
            <w:tcW w:w="0" w:type="auto"/>
            <w:tcBorders>
              <w:top w:val="nil"/>
              <w:left w:val="nil"/>
              <w:bottom w:val="single" w:sz="4" w:space="0" w:color="auto"/>
              <w:right w:val="single" w:sz="4" w:space="0" w:color="auto"/>
            </w:tcBorders>
            <w:shd w:val="clear" w:color="auto" w:fill="auto"/>
            <w:vAlign w:val="center"/>
            <w:hideMark/>
          </w:tcPr>
          <w:p w14:paraId="10E247DF"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Condiciones generales de trabajo, contratos y convenios que regulen la relación laboral, recursos otorgados a sindicatos.</w:t>
            </w:r>
          </w:p>
        </w:tc>
        <w:tc>
          <w:tcPr>
            <w:tcW w:w="1234" w:type="dxa"/>
            <w:tcBorders>
              <w:top w:val="nil"/>
              <w:left w:val="nil"/>
              <w:bottom w:val="single" w:sz="4" w:space="0" w:color="auto"/>
              <w:right w:val="single" w:sz="4" w:space="0" w:color="auto"/>
            </w:tcBorders>
            <w:shd w:val="clear" w:color="auto" w:fill="auto"/>
            <w:vAlign w:val="center"/>
            <w:hideMark/>
          </w:tcPr>
          <w:p w14:paraId="53EBE84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89.06</w:t>
            </w:r>
          </w:p>
        </w:tc>
      </w:tr>
      <w:tr w:rsidR="00074700" w:rsidRPr="00B92499" w14:paraId="37CCBB3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4C8AC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61746FCC" w14:textId="544AC7F5"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1234" w:type="dxa"/>
            <w:tcBorders>
              <w:top w:val="nil"/>
              <w:left w:val="nil"/>
              <w:bottom w:val="single" w:sz="4" w:space="0" w:color="auto"/>
              <w:right w:val="single" w:sz="4" w:space="0" w:color="auto"/>
            </w:tcBorders>
            <w:shd w:val="clear" w:color="auto" w:fill="auto"/>
            <w:vAlign w:val="center"/>
            <w:hideMark/>
          </w:tcPr>
          <w:p w14:paraId="4AF1C2D8"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88.39</w:t>
            </w:r>
          </w:p>
        </w:tc>
      </w:tr>
      <w:tr w:rsidR="00074700" w:rsidRPr="00B92499" w14:paraId="7853C71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3762F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1BDD18E5"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La información financiera sobre el presupuesto asignado.</w:t>
            </w:r>
          </w:p>
        </w:tc>
        <w:tc>
          <w:tcPr>
            <w:tcW w:w="1234" w:type="dxa"/>
            <w:tcBorders>
              <w:top w:val="nil"/>
              <w:left w:val="nil"/>
              <w:bottom w:val="single" w:sz="4" w:space="0" w:color="auto"/>
              <w:right w:val="single" w:sz="4" w:space="0" w:color="auto"/>
            </w:tcBorders>
            <w:shd w:val="clear" w:color="auto" w:fill="auto"/>
            <w:vAlign w:val="center"/>
            <w:hideMark/>
          </w:tcPr>
          <w:p w14:paraId="0C10B74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88.22</w:t>
            </w:r>
          </w:p>
        </w:tc>
      </w:tr>
      <w:tr w:rsidR="00074700" w:rsidRPr="00B92499" w14:paraId="0C25CBF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0A2602"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XLVI</w:t>
            </w:r>
          </w:p>
        </w:tc>
        <w:tc>
          <w:tcPr>
            <w:tcW w:w="0" w:type="auto"/>
            <w:tcBorders>
              <w:top w:val="nil"/>
              <w:left w:val="nil"/>
              <w:bottom w:val="single" w:sz="4" w:space="0" w:color="auto"/>
              <w:right w:val="single" w:sz="4" w:space="0" w:color="auto"/>
            </w:tcBorders>
            <w:shd w:val="clear" w:color="auto" w:fill="auto"/>
            <w:vAlign w:val="center"/>
            <w:hideMark/>
          </w:tcPr>
          <w:p w14:paraId="3D60F46B"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Listado de jubilados y pensionados y monto que reciben.</w:t>
            </w:r>
          </w:p>
        </w:tc>
        <w:tc>
          <w:tcPr>
            <w:tcW w:w="1234" w:type="dxa"/>
            <w:tcBorders>
              <w:top w:val="nil"/>
              <w:left w:val="nil"/>
              <w:bottom w:val="single" w:sz="4" w:space="0" w:color="auto"/>
              <w:right w:val="single" w:sz="4" w:space="0" w:color="auto"/>
            </w:tcBorders>
            <w:shd w:val="clear" w:color="auto" w:fill="auto"/>
            <w:vAlign w:val="center"/>
            <w:hideMark/>
          </w:tcPr>
          <w:p w14:paraId="4B8D709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87.97</w:t>
            </w:r>
          </w:p>
        </w:tc>
      </w:tr>
      <w:tr w:rsidR="00074700" w:rsidRPr="00B92499" w14:paraId="162C3A1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0DAA0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LIV</w:t>
            </w:r>
          </w:p>
        </w:tc>
        <w:tc>
          <w:tcPr>
            <w:tcW w:w="0" w:type="auto"/>
            <w:tcBorders>
              <w:top w:val="nil"/>
              <w:left w:val="nil"/>
              <w:bottom w:val="single" w:sz="4" w:space="0" w:color="auto"/>
              <w:right w:val="single" w:sz="4" w:space="0" w:color="auto"/>
            </w:tcBorders>
            <w:shd w:val="clear" w:color="auto" w:fill="auto"/>
            <w:vAlign w:val="center"/>
            <w:hideMark/>
          </w:tcPr>
          <w:p w14:paraId="2440A157"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Personas beneficiadas, la temporalidad, los montos y todo aquello relacionado con el acto administrativo de los incentivos, condonaciones, reducciones fiscales, concesiones, permisos o licencias, entre otros actos.</w:t>
            </w:r>
          </w:p>
        </w:tc>
        <w:tc>
          <w:tcPr>
            <w:tcW w:w="1234" w:type="dxa"/>
            <w:tcBorders>
              <w:top w:val="nil"/>
              <w:left w:val="nil"/>
              <w:bottom w:val="single" w:sz="4" w:space="0" w:color="auto"/>
              <w:right w:val="single" w:sz="4" w:space="0" w:color="auto"/>
            </w:tcBorders>
            <w:shd w:val="clear" w:color="auto" w:fill="auto"/>
            <w:vAlign w:val="center"/>
            <w:hideMark/>
          </w:tcPr>
          <w:p w14:paraId="5E7A556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87.34</w:t>
            </w:r>
          </w:p>
        </w:tc>
      </w:tr>
      <w:tr w:rsidR="00074700" w:rsidRPr="00B92499" w14:paraId="203E8B4D"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BDA27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XXXV</w:t>
            </w:r>
          </w:p>
        </w:tc>
        <w:tc>
          <w:tcPr>
            <w:tcW w:w="0" w:type="auto"/>
            <w:tcBorders>
              <w:top w:val="nil"/>
              <w:left w:val="nil"/>
              <w:bottom w:val="single" w:sz="4" w:space="0" w:color="auto"/>
              <w:right w:val="single" w:sz="4" w:space="0" w:color="auto"/>
            </w:tcBorders>
            <w:shd w:val="clear" w:color="auto" w:fill="auto"/>
            <w:vAlign w:val="center"/>
            <w:hideMark/>
          </w:tcPr>
          <w:p w14:paraId="3B0E2005"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Convenios de coordinación de concertación con los sectores sociales y privado.</w:t>
            </w:r>
          </w:p>
        </w:tc>
        <w:tc>
          <w:tcPr>
            <w:tcW w:w="1234" w:type="dxa"/>
            <w:tcBorders>
              <w:top w:val="nil"/>
              <w:left w:val="nil"/>
              <w:bottom w:val="single" w:sz="4" w:space="0" w:color="auto"/>
              <w:right w:val="single" w:sz="4" w:space="0" w:color="auto"/>
            </w:tcBorders>
            <w:shd w:val="clear" w:color="auto" w:fill="auto"/>
            <w:vAlign w:val="center"/>
            <w:hideMark/>
          </w:tcPr>
          <w:p w14:paraId="27EF3E8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87.32</w:t>
            </w:r>
          </w:p>
        </w:tc>
      </w:tr>
      <w:tr w:rsidR="00074700" w:rsidRPr="00B92499" w14:paraId="3E52B274"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72BCA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3EBCF91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Servidores públicos con sanciones administrativas.</w:t>
            </w:r>
          </w:p>
        </w:tc>
        <w:tc>
          <w:tcPr>
            <w:tcW w:w="1234" w:type="dxa"/>
            <w:tcBorders>
              <w:top w:val="nil"/>
              <w:left w:val="nil"/>
              <w:bottom w:val="single" w:sz="4" w:space="0" w:color="auto"/>
              <w:right w:val="single" w:sz="4" w:space="0" w:color="auto"/>
            </w:tcBorders>
            <w:shd w:val="clear" w:color="auto" w:fill="auto"/>
            <w:vAlign w:val="center"/>
            <w:hideMark/>
          </w:tcPr>
          <w:p w14:paraId="72ABA7D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87.06</w:t>
            </w:r>
          </w:p>
        </w:tc>
      </w:tr>
      <w:tr w:rsidR="00074700" w:rsidRPr="00B92499" w14:paraId="767C76CF"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4F3C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3E58880F"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Informe de avances programáticos o presupuestales.</w:t>
            </w:r>
          </w:p>
        </w:tc>
        <w:tc>
          <w:tcPr>
            <w:tcW w:w="1234" w:type="dxa"/>
            <w:tcBorders>
              <w:top w:val="nil"/>
              <w:left w:val="nil"/>
              <w:bottom w:val="single" w:sz="4" w:space="0" w:color="auto"/>
              <w:right w:val="single" w:sz="4" w:space="0" w:color="auto"/>
            </w:tcBorders>
            <w:shd w:val="clear" w:color="auto" w:fill="auto"/>
            <w:vAlign w:val="center"/>
            <w:hideMark/>
          </w:tcPr>
          <w:p w14:paraId="656889D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86.92</w:t>
            </w:r>
          </w:p>
        </w:tc>
      </w:tr>
      <w:tr w:rsidR="00074700" w:rsidRPr="00B92499" w14:paraId="542A33E3"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E6D983"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7633493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El catálogo de disposición y guía de archivo documental.</w:t>
            </w:r>
          </w:p>
        </w:tc>
        <w:tc>
          <w:tcPr>
            <w:tcW w:w="1234" w:type="dxa"/>
            <w:tcBorders>
              <w:top w:val="nil"/>
              <w:left w:val="nil"/>
              <w:bottom w:val="single" w:sz="4" w:space="0" w:color="auto"/>
              <w:right w:val="single" w:sz="4" w:space="0" w:color="auto"/>
            </w:tcBorders>
            <w:shd w:val="clear" w:color="auto" w:fill="auto"/>
            <w:vAlign w:val="center"/>
            <w:hideMark/>
          </w:tcPr>
          <w:p w14:paraId="288D6A0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86.51</w:t>
            </w:r>
          </w:p>
        </w:tc>
      </w:tr>
      <w:tr w:rsidR="00074700" w:rsidRPr="00B92499" w14:paraId="3ED1C2C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156A0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XLV</w:t>
            </w:r>
          </w:p>
        </w:tc>
        <w:tc>
          <w:tcPr>
            <w:tcW w:w="0" w:type="auto"/>
            <w:tcBorders>
              <w:top w:val="nil"/>
              <w:left w:val="nil"/>
              <w:bottom w:val="single" w:sz="4" w:space="0" w:color="auto"/>
              <w:right w:val="single" w:sz="4" w:space="0" w:color="auto"/>
            </w:tcBorders>
            <w:shd w:val="clear" w:color="auto" w:fill="auto"/>
            <w:vAlign w:val="center"/>
            <w:hideMark/>
          </w:tcPr>
          <w:p w14:paraId="3A914AD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1234" w:type="dxa"/>
            <w:tcBorders>
              <w:top w:val="nil"/>
              <w:left w:val="nil"/>
              <w:bottom w:val="single" w:sz="4" w:space="0" w:color="auto"/>
              <w:right w:val="single" w:sz="4" w:space="0" w:color="auto"/>
            </w:tcBorders>
            <w:shd w:val="clear" w:color="auto" w:fill="auto"/>
            <w:vAlign w:val="center"/>
            <w:hideMark/>
          </w:tcPr>
          <w:p w14:paraId="72F1BC4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86.46</w:t>
            </w:r>
          </w:p>
        </w:tc>
      </w:tr>
      <w:tr w:rsidR="00074700" w:rsidRPr="00B92499" w14:paraId="36365FD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29CF8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L</w:t>
            </w:r>
          </w:p>
        </w:tc>
        <w:tc>
          <w:tcPr>
            <w:tcW w:w="0" w:type="auto"/>
            <w:tcBorders>
              <w:top w:val="nil"/>
              <w:left w:val="nil"/>
              <w:bottom w:val="single" w:sz="4" w:space="0" w:color="auto"/>
              <w:right w:val="single" w:sz="4" w:space="0" w:color="auto"/>
            </w:tcBorders>
            <w:shd w:val="clear" w:color="auto" w:fill="auto"/>
            <w:vAlign w:val="center"/>
            <w:hideMark/>
          </w:tcPr>
          <w:p w14:paraId="2F0ACD87"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La calendarización, minutas y actas de las reuniones públicas de los consejos, colegiados, gabinetes, sesiones plenarias, comités, comisiones y sesiones de trabajo.</w:t>
            </w:r>
          </w:p>
        </w:tc>
        <w:tc>
          <w:tcPr>
            <w:tcW w:w="1234" w:type="dxa"/>
            <w:tcBorders>
              <w:top w:val="nil"/>
              <w:left w:val="nil"/>
              <w:bottom w:val="single" w:sz="4" w:space="0" w:color="auto"/>
              <w:right w:val="single" w:sz="4" w:space="0" w:color="auto"/>
            </w:tcBorders>
            <w:shd w:val="clear" w:color="auto" w:fill="auto"/>
            <w:vAlign w:val="center"/>
            <w:hideMark/>
          </w:tcPr>
          <w:p w14:paraId="4C7B6DF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86.25</w:t>
            </w:r>
          </w:p>
        </w:tc>
      </w:tr>
      <w:tr w:rsidR="00074700" w:rsidRPr="00B92499" w14:paraId="3F60F116"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0897E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67B81AA2"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Servicios profesionales y honorarios.</w:t>
            </w:r>
          </w:p>
        </w:tc>
        <w:tc>
          <w:tcPr>
            <w:tcW w:w="1234" w:type="dxa"/>
            <w:tcBorders>
              <w:top w:val="nil"/>
              <w:left w:val="nil"/>
              <w:bottom w:val="single" w:sz="4" w:space="0" w:color="auto"/>
              <w:right w:val="single" w:sz="4" w:space="0" w:color="auto"/>
            </w:tcBorders>
            <w:shd w:val="clear" w:color="auto" w:fill="auto"/>
            <w:vAlign w:val="center"/>
            <w:hideMark/>
          </w:tcPr>
          <w:p w14:paraId="1CE2AF0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85.93</w:t>
            </w:r>
          </w:p>
        </w:tc>
      </w:tr>
      <w:tr w:rsidR="00074700" w:rsidRPr="00B92499" w14:paraId="0B248995"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0DC18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7BC5CDB3"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Marco Normativo.</w:t>
            </w:r>
          </w:p>
        </w:tc>
        <w:tc>
          <w:tcPr>
            <w:tcW w:w="1234" w:type="dxa"/>
            <w:tcBorders>
              <w:top w:val="nil"/>
              <w:left w:val="nil"/>
              <w:bottom w:val="single" w:sz="4" w:space="0" w:color="auto"/>
              <w:right w:val="single" w:sz="4" w:space="0" w:color="auto"/>
            </w:tcBorders>
            <w:shd w:val="clear" w:color="auto" w:fill="auto"/>
            <w:vAlign w:val="center"/>
            <w:hideMark/>
          </w:tcPr>
          <w:p w14:paraId="6E7149A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85.87</w:t>
            </w:r>
          </w:p>
        </w:tc>
      </w:tr>
      <w:tr w:rsidR="00074700" w:rsidRPr="00B92499" w14:paraId="07AD206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BEC5D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18B9739F"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Facultades de cada área (dirección).</w:t>
            </w:r>
          </w:p>
        </w:tc>
        <w:tc>
          <w:tcPr>
            <w:tcW w:w="1234" w:type="dxa"/>
            <w:tcBorders>
              <w:top w:val="nil"/>
              <w:left w:val="nil"/>
              <w:bottom w:val="single" w:sz="4" w:space="0" w:color="auto"/>
              <w:right w:val="single" w:sz="4" w:space="0" w:color="auto"/>
            </w:tcBorders>
            <w:shd w:val="clear" w:color="auto" w:fill="auto"/>
            <w:vAlign w:val="center"/>
            <w:hideMark/>
          </w:tcPr>
          <w:p w14:paraId="1D95676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85.37</w:t>
            </w:r>
          </w:p>
        </w:tc>
      </w:tr>
      <w:tr w:rsidR="00074700" w:rsidRPr="00B92499" w14:paraId="16B8000B"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BFFF09"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3BA7AEE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Metas y objetivos de la Dirección.</w:t>
            </w:r>
          </w:p>
        </w:tc>
        <w:tc>
          <w:tcPr>
            <w:tcW w:w="1234" w:type="dxa"/>
            <w:tcBorders>
              <w:top w:val="nil"/>
              <w:left w:val="nil"/>
              <w:bottom w:val="single" w:sz="4" w:space="0" w:color="auto"/>
              <w:right w:val="single" w:sz="4" w:space="0" w:color="auto"/>
            </w:tcBorders>
            <w:shd w:val="clear" w:color="auto" w:fill="auto"/>
            <w:vAlign w:val="center"/>
            <w:hideMark/>
          </w:tcPr>
          <w:p w14:paraId="2AEE657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85.06</w:t>
            </w:r>
          </w:p>
        </w:tc>
      </w:tr>
      <w:tr w:rsidR="00074700" w:rsidRPr="00B92499" w14:paraId="7655203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E6701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XLII</w:t>
            </w:r>
          </w:p>
        </w:tc>
        <w:tc>
          <w:tcPr>
            <w:tcW w:w="0" w:type="auto"/>
            <w:tcBorders>
              <w:top w:val="nil"/>
              <w:left w:val="nil"/>
              <w:bottom w:val="single" w:sz="4" w:space="0" w:color="auto"/>
              <w:right w:val="single" w:sz="4" w:space="0" w:color="auto"/>
            </w:tcBorders>
            <w:shd w:val="clear" w:color="auto" w:fill="auto"/>
            <w:vAlign w:val="center"/>
            <w:hideMark/>
          </w:tcPr>
          <w:p w14:paraId="42676193" w14:textId="5F50AB2A"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 xml:space="preserve">Información relacionada con los programas y centros destinados a la práctica de actividad física, </w:t>
            </w:r>
            <w:r w:rsidR="00735992" w:rsidRPr="00B92499">
              <w:rPr>
                <w:rFonts w:ascii="Arial" w:hAnsi="Arial" w:cs="Arial"/>
                <w:color w:val="000000"/>
                <w:sz w:val="20"/>
                <w:szCs w:val="20"/>
              </w:rPr>
              <w:t>ejercicio</w:t>
            </w:r>
            <w:r w:rsidRPr="00B92499">
              <w:rPr>
                <w:rFonts w:ascii="Arial" w:hAnsi="Arial" w:cs="Arial"/>
                <w:color w:val="000000"/>
                <w:sz w:val="20"/>
                <w:szCs w:val="20"/>
              </w:rPr>
              <w:t xml:space="preserve"> y deporte.</w:t>
            </w:r>
          </w:p>
        </w:tc>
        <w:tc>
          <w:tcPr>
            <w:tcW w:w="1234" w:type="dxa"/>
            <w:tcBorders>
              <w:top w:val="nil"/>
              <w:left w:val="nil"/>
              <w:bottom w:val="single" w:sz="4" w:space="0" w:color="auto"/>
              <w:right w:val="single" w:sz="4" w:space="0" w:color="auto"/>
            </w:tcBorders>
            <w:shd w:val="clear" w:color="auto" w:fill="auto"/>
            <w:vAlign w:val="center"/>
            <w:hideMark/>
          </w:tcPr>
          <w:p w14:paraId="13170CD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84.74</w:t>
            </w:r>
          </w:p>
        </w:tc>
      </w:tr>
      <w:tr w:rsidR="00074700" w:rsidRPr="00B92499" w14:paraId="21B64400"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C11AE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XLIV</w:t>
            </w:r>
          </w:p>
        </w:tc>
        <w:tc>
          <w:tcPr>
            <w:tcW w:w="0" w:type="auto"/>
            <w:tcBorders>
              <w:top w:val="nil"/>
              <w:left w:val="nil"/>
              <w:bottom w:val="single" w:sz="4" w:space="0" w:color="auto"/>
              <w:right w:val="single" w:sz="4" w:space="0" w:color="auto"/>
            </w:tcBorders>
            <w:shd w:val="clear" w:color="auto" w:fill="auto"/>
            <w:vAlign w:val="center"/>
            <w:hideMark/>
          </w:tcPr>
          <w:p w14:paraId="1D3293D9"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Evaluaciones y encuestas a programas financiados con recursos públicos.</w:t>
            </w:r>
          </w:p>
        </w:tc>
        <w:tc>
          <w:tcPr>
            <w:tcW w:w="1234" w:type="dxa"/>
            <w:tcBorders>
              <w:top w:val="nil"/>
              <w:left w:val="nil"/>
              <w:bottom w:val="single" w:sz="4" w:space="0" w:color="auto"/>
              <w:right w:val="single" w:sz="4" w:space="0" w:color="auto"/>
            </w:tcBorders>
            <w:shd w:val="clear" w:color="auto" w:fill="auto"/>
            <w:vAlign w:val="center"/>
            <w:hideMark/>
          </w:tcPr>
          <w:p w14:paraId="385EA39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84.70</w:t>
            </w:r>
          </w:p>
        </w:tc>
      </w:tr>
      <w:tr w:rsidR="00074700" w:rsidRPr="00B92499" w14:paraId="7F6A5AC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5B88A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XLI</w:t>
            </w:r>
          </w:p>
        </w:tc>
        <w:tc>
          <w:tcPr>
            <w:tcW w:w="0" w:type="auto"/>
            <w:tcBorders>
              <w:top w:val="nil"/>
              <w:left w:val="nil"/>
              <w:bottom w:val="single" w:sz="4" w:space="0" w:color="auto"/>
              <w:right w:val="single" w:sz="4" w:space="0" w:color="auto"/>
            </w:tcBorders>
            <w:shd w:val="clear" w:color="auto" w:fill="auto"/>
            <w:vAlign w:val="center"/>
            <w:hideMark/>
          </w:tcPr>
          <w:p w14:paraId="1A96EBB4" w14:textId="36186928"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 xml:space="preserve">Programas que ofrece el </w:t>
            </w:r>
            <w:r w:rsidR="008710F6" w:rsidRPr="00B92499">
              <w:rPr>
                <w:rFonts w:ascii="Arial" w:hAnsi="Arial" w:cs="Arial"/>
                <w:color w:val="000000"/>
                <w:sz w:val="20"/>
                <w:szCs w:val="20"/>
              </w:rPr>
              <w:t>sujeto obligado</w:t>
            </w:r>
            <w:r w:rsidRPr="00B92499">
              <w:rPr>
                <w:rFonts w:ascii="Arial" w:hAnsi="Arial" w:cs="Arial"/>
                <w:color w:val="000000"/>
                <w:sz w:val="20"/>
                <w:szCs w:val="20"/>
              </w:rPr>
              <w:t>, así como trámites, requisitos y formatos.</w:t>
            </w:r>
          </w:p>
        </w:tc>
        <w:tc>
          <w:tcPr>
            <w:tcW w:w="1234" w:type="dxa"/>
            <w:tcBorders>
              <w:top w:val="nil"/>
              <w:left w:val="nil"/>
              <w:bottom w:val="single" w:sz="4" w:space="0" w:color="auto"/>
              <w:right w:val="single" w:sz="4" w:space="0" w:color="auto"/>
            </w:tcBorders>
            <w:shd w:val="clear" w:color="auto" w:fill="auto"/>
            <w:vAlign w:val="center"/>
            <w:hideMark/>
          </w:tcPr>
          <w:p w14:paraId="2ADD1B3A"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84.06</w:t>
            </w:r>
          </w:p>
        </w:tc>
      </w:tr>
      <w:tr w:rsidR="00074700" w:rsidRPr="00B92499" w14:paraId="260B6122"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A8FC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31DA20A7"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Indicadores de gestión</w:t>
            </w:r>
          </w:p>
        </w:tc>
        <w:tc>
          <w:tcPr>
            <w:tcW w:w="1234" w:type="dxa"/>
            <w:tcBorders>
              <w:top w:val="nil"/>
              <w:left w:val="nil"/>
              <w:bottom w:val="single" w:sz="4" w:space="0" w:color="auto"/>
              <w:right w:val="single" w:sz="4" w:space="0" w:color="auto"/>
            </w:tcBorders>
            <w:shd w:val="clear" w:color="auto" w:fill="auto"/>
            <w:vAlign w:val="center"/>
            <w:hideMark/>
          </w:tcPr>
          <w:p w14:paraId="1823875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83.69</w:t>
            </w:r>
          </w:p>
        </w:tc>
      </w:tr>
      <w:tr w:rsidR="00074700" w:rsidRPr="00B92499" w14:paraId="5F4F2DD7"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9A10FF"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3A8AD097"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Dictámenes de cuenta pública y estado financieros.</w:t>
            </w:r>
          </w:p>
        </w:tc>
        <w:tc>
          <w:tcPr>
            <w:tcW w:w="1234" w:type="dxa"/>
            <w:tcBorders>
              <w:top w:val="nil"/>
              <w:left w:val="nil"/>
              <w:bottom w:val="single" w:sz="4" w:space="0" w:color="auto"/>
              <w:right w:val="single" w:sz="4" w:space="0" w:color="auto"/>
            </w:tcBorders>
            <w:shd w:val="clear" w:color="auto" w:fill="auto"/>
            <w:vAlign w:val="center"/>
            <w:hideMark/>
          </w:tcPr>
          <w:p w14:paraId="7A711568"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83.53</w:t>
            </w:r>
          </w:p>
        </w:tc>
      </w:tr>
      <w:tr w:rsidR="00074700" w:rsidRPr="00B92499" w14:paraId="2745439F"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9E8311"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0B172DF2"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1234" w:type="dxa"/>
            <w:tcBorders>
              <w:top w:val="nil"/>
              <w:left w:val="nil"/>
              <w:bottom w:val="single" w:sz="4" w:space="0" w:color="auto"/>
              <w:right w:val="single" w:sz="4" w:space="0" w:color="auto"/>
            </w:tcBorders>
            <w:shd w:val="clear" w:color="auto" w:fill="auto"/>
            <w:vAlign w:val="center"/>
            <w:hideMark/>
          </w:tcPr>
          <w:p w14:paraId="134A5FA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83.41</w:t>
            </w:r>
          </w:p>
        </w:tc>
      </w:tr>
      <w:tr w:rsidR="00074700" w:rsidRPr="00B92499" w14:paraId="05A72280"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3FE11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XLVII</w:t>
            </w:r>
          </w:p>
        </w:tc>
        <w:tc>
          <w:tcPr>
            <w:tcW w:w="0" w:type="auto"/>
            <w:tcBorders>
              <w:top w:val="nil"/>
              <w:left w:val="nil"/>
              <w:bottom w:val="single" w:sz="4" w:space="0" w:color="auto"/>
              <w:right w:val="single" w:sz="4" w:space="0" w:color="auto"/>
            </w:tcBorders>
            <w:shd w:val="clear" w:color="auto" w:fill="auto"/>
            <w:vAlign w:val="center"/>
            <w:hideMark/>
          </w:tcPr>
          <w:p w14:paraId="58AAD6EB"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Los ingresos recibidos por cualquier concepto.</w:t>
            </w:r>
          </w:p>
        </w:tc>
        <w:tc>
          <w:tcPr>
            <w:tcW w:w="1234" w:type="dxa"/>
            <w:tcBorders>
              <w:top w:val="nil"/>
              <w:left w:val="nil"/>
              <w:bottom w:val="single" w:sz="4" w:space="0" w:color="auto"/>
              <w:right w:val="single" w:sz="4" w:space="0" w:color="auto"/>
            </w:tcBorders>
            <w:shd w:val="clear" w:color="auto" w:fill="auto"/>
            <w:vAlign w:val="center"/>
            <w:hideMark/>
          </w:tcPr>
          <w:p w14:paraId="2D03CB9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83.12</w:t>
            </w:r>
          </w:p>
        </w:tc>
      </w:tr>
      <w:tr w:rsidR="00074700" w:rsidRPr="00B92499" w14:paraId="4F95E67D"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E3418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64556DE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Estadísticas que generen.</w:t>
            </w:r>
          </w:p>
        </w:tc>
        <w:tc>
          <w:tcPr>
            <w:tcW w:w="1234" w:type="dxa"/>
            <w:tcBorders>
              <w:top w:val="nil"/>
              <w:left w:val="nil"/>
              <w:bottom w:val="single" w:sz="4" w:space="0" w:color="auto"/>
              <w:right w:val="single" w:sz="4" w:space="0" w:color="auto"/>
            </w:tcBorders>
            <w:shd w:val="clear" w:color="auto" w:fill="auto"/>
            <w:vAlign w:val="center"/>
            <w:hideMark/>
          </w:tcPr>
          <w:p w14:paraId="3C66D213"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80.86</w:t>
            </w:r>
          </w:p>
        </w:tc>
      </w:tr>
      <w:tr w:rsidR="00074700" w:rsidRPr="00B92499" w14:paraId="089E3B3A"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B81D1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66416A86"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Montos, criterios, convocatoria y convocatorias de personas físicas y morales que reciban recursos públicos o realicen actos de autoridad.</w:t>
            </w:r>
          </w:p>
        </w:tc>
        <w:tc>
          <w:tcPr>
            <w:tcW w:w="1234" w:type="dxa"/>
            <w:tcBorders>
              <w:top w:val="nil"/>
              <w:left w:val="nil"/>
              <w:bottom w:val="single" w:sz="4" w:space="0" w:color="auto"/>
              <w:right w:val="single" w:sz="4" w:space="0" w:color="auto"/>
            </w:tcBorders>
            <w:shd w:val="clear" w:color="auto" w:fill="auto"/>
            <w:vAlign w:val="center"/>
            <w:hideMark/>
          </w:tcPr>
          <w:p w14:paraId="76A08F1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79.49</w:t>
            </w:r>
          </w:p>
        </w:tc>
      </w:tr>
      <w:tr w:rsidR="00074700" w:rsidRPr="00B92499" w14:paraId="2B7F0E5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52D9D7"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3A7BE8AB" w14:textId="34EA03A4"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Informes de resultados de auditor</w:t>
            </w:r>
            <w:r w:rsidR="00490622" w:rsidRPr="00B92499">
              <w:rPr>
                <w:rFonts w:ascii="Arial" w:hAnsi="Arial" w:cs="Arial"/>
                <w:color w:val="000000"/>
                <w:sz w:val="20"/>
                <w:szCs w:val="20"/>
              </w:rPr>
              <w:t>í</w:t>
            </w:r>
            <w:r w:rsidRPr="00B92499">
              <w:rPr>
                <w:rFonts w:ascii="Arial" w:hAnsi="Arial" w:cs="Arial"/>
                <w:color w:val="000000"/>
                <w:sz w:val="20"/>
                <w:szCs w:val="20"/>
              </w:rPr>
              <w:t>as.</w:t>
            </w:r>
          </w:p>
        </w:tc>
        <w:tc>
          <w:tcPr>
            <w:tcW w:w="1234" w:type="dxa"/>
            <w:tcBorders>
              <w:top w:val="nil"/>
              <w:left w:val="nil"/>
              <w:bottom w:val="single" w:sz="4" w:space="0" w:color="auto"/>
              <w:right w:val="single" w:sz="4" w:space="0" w:color="auto"/>
            </w:tcBorders>
            <w:shd w:val="clear" w:color="auto" w:fill="auto"/>
            <w:vAlign w:val="center"/>
            <w:hideMark/>
          </w:tcPr>
          <w:p w14:paraId="3E99C09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79.11</w:t>
            </w:r>
          </w:p>
        </w:tc>
      </w:tr>
      <w:tr w:rsidR="00074700" w:rsidRPr="00B92499" w14:paraId="7028796E"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5702FE"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591A91C1"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1234" w:type="dxa"/>
            <w:tcBorders>
              <w:top w:val="nil"/>
              <w:left w:val="nil"/>
              <w:bottom w:val="single" w:sz="4" w:space="0" w:color="auto"/>
              <w:right w:val="single" w:sz="4" w:space="0" w:color="auto"/>
            </w:tcBorders>
            <w:shd w:val="clear" w:color="auto" w:fill="auto"/>
            <w:vAlign w:val="center"/>
            <w:hideMark/>
          </w:tcPr>
          <w:p w14:paraId="6B567DE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78.91</w:t>
            </w:r>
          </w:p>
        </w:tc>
      </w:tr>
      <w:tr w:rsidR="00074700" w:rsidRPr="00B92499" w14:paraId="07402321"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C7567D"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094DD80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Inventario de bienes muebles.</w:t>
            </w:r>
          </w:p>
        </w:tc>
        <w:tc>
          <w:tcPr>
            <w:tcW w:w="1234" w:type="dxa"/>
            <w:tcBorders>
              <w:top w:val="nil"/>
              <w:left w:val="nil"/>
              <w:bottom w:val="single" w:sz="4" w:space="0" w:color="auto"/>
              <w:right w:val="single" w:sz="4" w:space="0" w:color="auto"/>
            </w:tcBorders>
            <w:shd w:val="clear" w:color="auto" w:fill="auto"/>
            <w:vAlign w:val="center"/>
            <w:hideMark/>
          </w:tcPr>
          <w:p w14:paraId="0A6607A6"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78.87</w:t>
            </w:r>
          </w:p>
        </w:tc>
      </w:tr>
      <w:tr w:rsidR="00074700" w:rsidRPr="00B92499" w14:paraId="5580B361"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9068D4"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39125D90"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Metas y objetivos de la Dirección conforme al POA.</w:t>
            </w:r>
          </w:p>
        </w:tc>
        <w:tc>
          <w:tcPr>
            <w:tcW w:w="1234" w:type="dxa"/>
            <w:tcBorders>
              <w:top w:val="nil"/>
              <w:left w:val="nil"/>
              <w:bottom w:val="single" w:sz="4" w:space="0" w:color="auto"/>
              <w:right w:val="single" w:sz="4" w:space="0" w:color="auto"/>
            </w:tcBorders>
            <w:shd w:val="clear" w:color="auto" w:fill="auto"/>
            <w:vAlign w:val="center"/>
            <w:hideMark/>
          </w:tcPr>
          <w:p w14:paraId="109C4145"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76.09</w:t>
            </w:r>
          </w:p>
        </w:tc>
      </w:tr>
      <w:tr w:rsidR="00074700" w:rsidRPr="00B92499" w14:paraId="07EAF07C" w14:textId="77777777" w:rsidTr="0077397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6E7CBC"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3AB412BC" w14:textId="77777777" w:rsidR="00074700" w:rsidRPr="00B92499" w:rsidRDefault="00074700" w:rsidP="00773979">
            <w:pPr>
              <w:rPr>
                <w:rFonts w:ascii="Arial" w:hAnsi="Arial" w:cs="Arial"/>
                <w:color w:val="000000"/>
                <w:sz w:val="20"/>
                <w:szCs w:val="20"/>
              </w:rPr>
            </w:pPr>
            <w:r w:rsidRPr="00B92499">
              <w:rPr>
                <w:rFonts w:ascii="Arial" w:hAnsi="Arial" w:cs="Arial"/>
                <w:color w:val="000000"/>
                <w:sz w:val="20"/>
                <w:szCs w:val="20"/>
              </w:rPr>
              <w:t>Cualquier otra información que sea de utilidad o se considere relevante.</w:t>
            </w:r>
          </w:p>
        </w:tc>
        <w:tc>
          <w:tcPr>
            <w:tcW w:w="1234" w:type="dxa"/>
            <w:tcBorders>
              <w:top w:val="nil"/>
              <w:left w:val="nil"/>
              <w:bottom w:val="single" w:sz="4" w:space="0" w:color="auto"/>
              <w:right w:val="single" w:sz="4" w:space="0" w:color="auto"/>
            </w:tcBorders>
            <w:shd w:val="clear" w:color="auto" w:fill="auto"/>
            <w:vAlign w:val="center"/>
            <w:hideMark/>
          </w:tcPr>
          <w:p w14:paraId="293F995B" w14:textId="77777777" w:rsidR="00074700" w:rsidRPr="00B92499" w:rsidRDefault="00074700" w:rsidP="00074700">
            <w:pPr>
              <w:jc w:val="center"/>
              <w:rPr>
                <w:rFonts w:ascii="Arial" w:hAnsi="Arial" w:cs="Arial"/>
                <w:color w:val="000000"/>
                <w:sz w:val="20"/>
                <w:szCs w:val="20"/>
              </w:rPr>
            </w:pPr>
            <w:r w:rsidRPr="00B92499">
              <w:rPr>
                <w:rFonts w:ascii="Arial" w:hAnsi="Arial" w:cs="Arial"/>
                <w:color w:val="000000"/>
                <w:sz w:val="20"/>
                <w:szCs w:val="20"/>
              </w:rPr>
              <w:t>75.65</w:t>
            </w:r>
          </w:p>
        </w:tc>
      </w:tr>
    </w:tbl>
    <w:p w14:paraId="5B186FE8" w14:textId="77777777" w:rsidR="00D2376D" w:rsidRPr="00B92499" w:rsidRDefault="00D2376D" w:rsidP="00074700">
      <w:pPr>
        <w:spacing w:before="100" w:beforeAutospacing="1" w:after="100" w:afterAutospacing="1" w:line="360" w:lineRule="auto"/>
        <w:jc w:val="both"/>
        <w:rPr>
          <w:rFonts w:ascii="Arial" w:hAnsi="Arial" w:cs="Arial"/>
        </w:rPr>
      </w:pPr>
    </w:p>
    <w:p w14:paraId="5389ED39" w14:textId="602A83FB" w:rsidR="00D2376D" w:rsidRPr="00B92499" w:rsidRDefault="00940CBA" w:rsidP="009F64B5">
      <w:pPr>
        <w:pStyle w:val="Ttulo3"/>
        <w:numPr>
          <w:ilvl w:val="2"/>
          <w:numId w:val="11"/>
        </w:numPr>
        <w:contextualSpacing/>
        <w:jc w:val="both"/>
        <w:rPr>
          <w:rFonts w:ascii="Arial" w:hAnsi="Arial" w:cs="Arial"/>
          <w:b/>
          <w:color w:val="auto"/>
        </w:rPr>
      </w:pPr>
      <w:bookmarkStart w:id="33" w:name="_Toc23252989"/>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122 y sus respectivas fracciones</w:t>
      </w:r>
      <w:bookmarkEnd w:id="33"/>
    </w:p>
    <w:p w14:paraId="6D5E8AA8" w14:textId="59FC8F5F" w:rsidR="0074778D" w:rsidRPr="00B92499" w:rsidRDefault="0074778D"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las delegaciones obtuvieron un ICP de </w:t>
      </w:r>
      <w:r w:rsidR="00074700" w:rsidRPr="00B92499">
        <w:rPr>
          <w:rFonts w:ascii="Arial" w:hAnsi="Arial" w:cs="Arial"/>
        </w:rPr>
        <w:t>88.86</w:t>
      </w:r>
      <w:r w:rsidRPr="00B92499">
        <w:rPr>
          <w:rFonts w:ascii="Arial" w:hAnsi="Arial" w:cs="Arial"/>
        </w:rPr>
        <w:t xml:space="preserve">%; por lo que se encuentra dentro del área de cumplimiento parcial. Las fracciones I, II y III obtuvieron un ICP de </w:t>
      </w:r>
      <w:r w:rsidR="00074700" w:rsidRPr="00B92499">
        <w:rPr>
          <w:rFonts w:ascii="Arial" w:hAnsi="Arial" w:cs="Arial"/>
        </w:rPr>
        <w:t>92.15</w:t>
      </w:r>
      <w:r w:rsidRPr="00B92499">
        <w:rPr>
          <w:rFonts w:ascii="Arial" w:hAnsi="Arial" w:cs="Arial"/>
        </w:rPr>
        <w:t xml:space="preserve">%, </w:t>
      </w:r>
      <w:r w:rsidR="00074700" w:rsidRPr="00B92499">
        <w:rPr>
          <w:rFonts w:ascii="Arial" w:hAnsi="Arial" w:cs="Arial"/>
        </w:rPr>
        <w:t>92.14</w:t>
      </w:r>
      <w:r w:rsidRPr="00B92499">
        <w:rPr>
          <w:rFonts w:ascii="Arial" w:hAnsi="Arial" w:cs="Arial"/>
        </w:rPr>
        <w:t>% y</w:t>
      </w:r>
      <w:r w:rsidR="00074700" w:rsidRPr="00B92499">
        <w:rPr>
          <w:rFonts w:ascii="Arial" w:hAnsi="Arial" w:cs="Arial"/>
        </w:rPr>
        <w:t xml:space="preserve"> 88.41</w:t>
      </w:r>
      <w:r w:rsidRPr="00B92499">
        <w:rPr>
          <w:rFonts w:ascii="Arial" w:hAnsi="Arial" w:cs="Arial"/>
        </w:rPr>
        <w:t xml:space="preserve">% respectivamente, colocándose en un cumplimiento parcial. </w:t>
      </w:r>
    </w:p>
    <w:p w14:paraId="5EFA3EE6" w14:textId="77777777" w:rsidR="00D2376D" w:rsidRPr="00B92499" w:rsidRDefault="00D2376D" w:rsidP="002E7D47">
      <w:pPr>
        <w:spacing w:before="100" w:beforeAutospacing="1" w:after="100" w:afterAutospacing="1" w:line="360" w:lineRule="auto"/>
        <w:contextualSpacing/>
        <w:jc w:val="both"/>
        <w:rPr>
          <w:rFonts w:ascii="Arial" w:hAnsi="Arial" w:cs="Arial"/>
        </w:rPr>
      </w:pPr>
    </w:p>
    <w:p w14:paraId="414BDEBD" w14:textId="49CC3412" w:rsidR="00D2376D"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Por otra parte, los errores que cometieron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con mayor frecuencia fueron los siguientes: no actualizaron la información conforme indica la normatividad vigente, ni se tuvo acceso a los hipervínculos que publicaron. </w:t>
      </w:r>
      <w:r w:rsidR="00475941" w:rsidRPr="00B92499">
        <w:rPr>
          <w:rFonts w:ascii="Arial" w:hAnsi="Arial" w:cs="Arial"/>
        </w:rPr>
        <w:t>Además</w:t>
      </w:r>
      <w:r w:rsidRPr="00B92499">
        <w:rPr>
          <w:rFonts w:ascii="Arial" w:hAnsi="Arial" w:cs="Arial"/>
        </w:rPr>
        <w:t>, en algunos casos indicaron erróneamente la no aplicabilidad, por lo que deberán revisar los lineamientos, estudiar el caso y publicar la información solicitada o transcribir la leyenda “no se generó información” con su debida motivación y fundamentación.</w:t>
      </w:r>
    </w:p>
    <w:p w14:paraId="16ACC2B1" w14:textId="1FD657CC" w:rsidR="00D2376D" w:rsidRPr="00B92499" w:rsidRDefault="00940CBA" w:rsidP="009F64B5">
      <w:pPr>
        <w:pStyle w:val="Ttulo3"/>
        <w:numPr>
          <w:ilvl w:val="2"/>
          <w:numId w:val="11"/>
        </w:numPr>
        <w:contextualSpacing/>
        <w:jc w:val="both"/>
        <w:rPr>
          <w:rFonts w:ascii="Arial" w:hAnsi="Arial" w:cs="Arial"/>
          <w:b/>
          <w:color w:val="auto"/>
        </w:rPr>
      </w:pPr>
      <w:bookmarkStart w:id="34" w:name="_Toc23252990"/>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124 y sus respectivas fracciones</w:t>
      </w:r>
      <w:bookmarkEnd w:id="34"/>
    </w:p>
    <w:p w14:paraId="7CB5C575" w14:textId="0A86822C" w:rsidR="00A82DA1" w:rsidRPr="00B92499" w:rsidRDefault="00940CBA" w:rsidP="00A82DA1">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las delegaciones obtuvieron un ICP de </w:t>
      </w:r>
      <w:r w:rsidR="00A82DA1" w:rsidRPr="00B92499">
        <w:rPr>
          <w:rFonts w:ascii="Arial" w:hAnsi="Arial" w:cs="Arial"/>
        </w:rPr>
        <w:t>82.81%</w:t>
      </w:r>
      <w:r w:rsidR="000710B2" w:rsidRPr="00B92499">
        <w:rPr>
          <w:rFonts w:ascii="Arial" w:hAnsi="Arial" w:cs="Arial"/>
        </w:rPr>
        <w:t>;</w:t>
      </w:r>
      <w:r w:rsidR="00A82DA1" w:rsidRPr="00B92499">
        <w:rPr>
          <w:rFonts w:ascii="Arial" w:hAnsi="Arial" w:cs="Arial"/>
        </w:rPr>
        <w:t xml:space="preserve"> </w:t>
      </w:r>
      <w:r w:rsidRPr="00B92499">
        <w:rPr>
          <w:rFonts w:ascii="Arial" w:hAnsi="Arial" w:cs="Arial"/>
        </w:rPr>
        <w:t>por lo que se encuentra dentro del área de cumplimiento parcial. Las</w:t>
      </w:r>
      <w:r w:rsidR="000D67A7" w:rsidRPr="00B92499">
        <w:rPr>
          <w:rFonts w:ascii="Arial" w:hAnsi="Arial" w:cs="Arial"/>
        </w:rPr>
        <w:t xml:space="preserve"> 4 </w:t>
      </w:r>
      <w:r w:rsidRPr="00B92499">
        <w:rPr>
          <w:rFonts w:ascii="Arial" w:hAnsi="Arial" w:cs="Arial"/>
        </w:rPr>
        <w:t>fracciones que tiene</w:t>
      </w:r>
      <w:r w:rsidR="00F52CAA" w:rsidRPr="00B92499">
        <w:rPr>
          <w:rFonts w:ascii="Arial" w:hAnsi="Arial" w:cs="Arial"/>
        </w:rPr>
        <w:t>n</w:t>
      </w:r>
      <w:r w:rsidRPr="00B92499">
        <w:rPr>
          <w:rFonts w:ascii="Arial" w:hAnsi="Arial" w:cs="Arial"/>
        </w:rPr>
        <w:t xml:space="preserve"> mayor área de oportunidad, ya que se colocaron en un</w:t>
      </w:r>
      <w:r w:rsidR="00A82DA1" w:rsidRPr="00B92499">
        <w:rPr>
          <w:rFonts w:ascii="Arial" w:hAnsi="Arial" w:cs="Arial"/>
        </w:rPr>
        <w:t xml:space="preserve"> </w:t>
      </w:r>
      <w:r w:rsidRPr="00B92499">
        <w:rPr>
          <w:rFonts w:ascii="Arial" w:hAnsi="Arial" w:cs="Arial"/>
        </w:rPr>
        <w:t xml:space="preserve">cumplimiento parcial entre </w:t>
      </w:r>
      <w:r w:rsidR="00A82DA1" w:rsidRPr="00B92499">
        <w:rPr>
          <w:rFonts w:ascii="Arial" w:hAnsi="Arial" w:cs="Arial"/>
        </w:rPr>
        <w:t>70.41% y 79.83</w:t>
      </w:r>
      <w:r w:rsidRPr="00B92499">
        <w:rPr>
          <w:rFonts w:ascii="Arial" w:hAnsi="Arial" w:cs="Arial"/>
        </w:rPr>
        <w:t xml:space="preserve">% son las siguientes: </w:t>
      </w:r>
    </w:p>
    <w:p w14:paraId="64650C71" w14:textId="77777777" w:rsidR="00B671B7" w:rsidRPr="00B92499" w:rsidRDefault="00B671B7" w:rsidP="009F64B5">
      <w:pPr>
        <w:pStyle w:val="Prrafodelista"/>
        <w:numPr>
          <w:ilvl w:val="0"/>
          <w:numId w:val="1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XXIV, con un ICP de 70.41% en la cual se mandata la publicación de</w:t>
      </w:r>
      <w:r w:rsidRPr="00B92499">
        <w:rPr>
          <w:rFonts w:ascii="Arial" w:hAnsi="Arial" w:cs="Arial"/>
          <w:color w:val="000000"/>
          <w:sz w:val="20"/>
          <w:szCs w:val="20"/>
          <w:lang w:val="es-ES_tradnl"/>
        </w:rPr>
        <w:t xml:space="preserve">l </w:t>
      </w:r>
      <w:r w:rsidRPr="00B92499">
        <w:rPr>
          <w:rFonts w:ascii="Arial" w:hAnsi="Arial" w:cs="Arial"/>
          <w:color w:val="000000"/>
          <w:sz w:val="24"/>
          <w:szCs w:val="24"/>
          <w:lang w:val="es-ES_tradnl"/>
        </w:rPr>
        <w:t>informe de labores presentado ante el Consejo Ciudadano Delegacional</w:t>
      </w:r>
      <w:r w:rsidRPr="00B92499">
        <w:rPr>
          <w:rFonts w:ascii="Arial" w:hAnsi="Arial" w:cs="Arial"/>
          <w:sz w:val="24"/>
          <w:szCs w:val="24"/>
          <w:lang w:val="es-ES_tradnl"/>
        </w:rPr>
        <w:t>. El área de oportunidad de las alcaldías respecto de esta fracción es actualizar los informes de labores ante el Consejo Ciudadano Delegacional.</w:t>
      </w:r>
    </w:p>
    <w:p w14:paraId="139B3D78" w14:textId="77777777" w:rsidR="00B671B7" w:rsidRPr="00B92499" w:rsidRDefault="00B671B7" w:rsidP="009F64B5">
      <w:pPr>
        <w:pStyle w:val="Prrafodelista"/>
        <w:numPr>
          <w:ilvl w:val="0"/>
          <w:numId w:val="1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XVI, con un ICP de 70.96% en la cual está señalada la obligación de publicar </w:t>
      </w:r>
      <w:r w:rsidRPr="00B92499">
        <w:rPr>
          <w:rFonts w:ascii="Arial" w:hAnsi="Arial" w:cs="Arial"/>
          <w:color w:val="000000"/>
          <w:sz w:val="24"/>
          <w:szCs w:val="24"/>
          <w:lang w:val="es-ES_tradnl"/>
        </w:rPr>
        <w:t>el Programa de Seguridad Pública de la demarcación</w:t>
      </w:r>
      <w:r w:rsidRPr="00B92499">
        <w:rPr>
          <w:rFonts w:ascii="Arial" w:hAnsi="Arial" w:cs="Arial"/>
          <w:sz w:val="24"/>
          <w:szCs w:val="24"/>
          <w:lang w:val="es-ES_tradnl"/>
        </w:rPr>
        <w:t>. El área de oportunidad de las alcaldías respecto de esta fracción es actualizar la información conforme indica la normatividad vigente.</w:t>
      </w:r>
    </w:p>
    <w:p w14:paraId="4591E615" w14:textId="77777777" w:rsidR="00B671B7" w:rsidRPr="00B92499" w:rsidRDefault="00B671B7" w:rsidP="009F64B5">
      <w:pPr>
        <w:pStyle w:val="Prrafodelista"/>
        <w:numPr>
          <w:ilvl w:val="0"/>
          <w:numId w:val="1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XXII, con un ICP de 78.88% en la cual se mandata la publicación de </w:t>
      </w:r>
      <w:r w:rsidRPr="00B92499">
        <w:rPr>
          <w:rFonts w:ascii="Arial" w:hAnsi="Arial" w:cs="Arial"/>
          <w:color w:val="000000"/>
          <w:sz w:val="24"/>
          <w:szCs w:val="24"/>
          <w:lang w:val="es-ES_tradnl"/>
        </w:rPr>
        <w:t>los programas y acciones relacionados con la preservación del equilibrio ecológico; la adquisición de reservas territoriales en su caso; y la protección al ambiente, en su ámbito de competencia</w:t>
      </w:r>
      <w:r w:rsidRPr="00B92499">
        <w:rPr>
          <w:rFonts w:ascii="Arial" w:hAnsi="Arial" w:cs="Arial"/>
          <w:lang w:val="es-ES_tradnl"/>
        </w:rPr>
        <w:t xml:space="preserve">. </w:t>
      </w:r>
      <w:r w:rsidRPr="00B92499">
        <w:rPr>
          <w:rFonts w:ascii="Arial" w:hAnsi="Arial" w:cs="Arial"/>
          <w:sz w:val="24"/>
          <w:szCs w:val="24"/>
          <w:lang w:val="es-ES_tradnl"/>
        </w:rPr>
        <w:t>El área de oportunidad de las alcaldías respecto de esta fracción es actualizar la información publicada en relación con los programas del cuidado del medio ambiente.</w:t>
      </w:r>
    </w:p>
    <w:p w14:paraId="09348408" w14:textId="7CF2E3E1" w:rsidR="00B671B7" w:rsidRPr="00B92499" w:rsidRDefault="00B671B7" w:rsidP="009F64B5">
      <w:pPr>
        <w:pStyle w:val="Prrafodelista"/>
        <w:numPr>
          <w:ilvl w:val="0"/>
          <w:numId w:val="1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XV, con un ICP de 79.83% en la cual </w:t>
      </w:r>
      <w:r w:rsidR="004C7C14" w:rsidRPr="00B92499">
        <w:rPr>
          <w:rFonts w:ascii="Arial" w:hAnsi="Arial" w:cs="Arial"/>
          <w:sz w:val="24"/>
          <w:szCs w:val="24"/>
          <w:lang w:val="es-ES_tradnl"/>
        </w:rPr>
        <w:t xml:space="preserve">se mandata </w:t>
      </w:r>
      <w:r w:rsidR="00C7683E" w:rsidRPr="00B92499">
        <w:rPr>
          <w:rFonts w:ascii="Arial" w:hAnsi="Arial" w:cs="Arial"/>
          <w:sz w:val="24"/>
          <w:szCs w:val="24"/>
          <w:lang w:val="es-ES_tradnl"/>
        </w:rPr>
        <w:t xml:space="preserve"> la publicación</w:t>
      </w:r>
      <w:r w:rsidR="004C7C14" w:rsidRPr="00B92499">
        <w:rPr>
          <w:rFonts w:ascii="Arial" w:hAnsi="Arial" w:cs="Arial"/>
          <w:sz w:val="24"/>
          <w:szCs w:val="24"/>
          <w:lang w:val="es-ES_tradnl"/>
        </w:rPr>
        <w:t xml:space="preserve"> del </w:t>
      </w:r>
      <w:r w:rsidR="004C7C14" w:rsidRPr="00B92499">
        <w:rPr>
          <w:rFonts w:ascii="Arial" w:hAnsi="Arial" w:cs="Arial"/>
          <w:color w:val="000000"/>
          <w:sz w:val="24"/>
          <w:szCs w:val="24"/>
          <w:lang w:val="es-ES_tradnl"/>
        </w:rPr>
        <w:t xml:space="preserve">padrón actualizado de los giros mercantiles que funcionen en su jurisdicción </w:t>
      </w:r>
      <w:r w:rsidR="004C7C14" w:rsidRPr="00B92499">
        <w:rPr>
          <w:rFonts w:ascii="Arial" w:hAnsi="Arial" w:cs="Arial"/>
          <w:color w:val="000000"/>
          <w:sz w:val="24"/>
          <w:szCs w:val="24"/>
          <w:lang w:val="es-ES_tradnl"/>
        </w:rPr>
        <w:lastRenderedPageBreak/>
        <w:t xml:space="preserve">y las licencias y autorizaciones otorgadas para el funcionamiento de los giros </w:t>
      </w:r>
      <w:r w:rsidR="008710F6" w:rsidRPr="00B92499">
        <w:rPr>
          <w:rFonts w:ascii="Arial" w:hAnsi="Arial" w:cs="Arial"/>
          <w:color w:val="000000"/>
          <w:sz w:val="24"/>
          <w:szCs w:val="24"/>
          <w:lang w:val="es-ES_tradnl"/>
        </w:rPr>
        <w:t>sujeto</w:t>
      </w:r>
      <w:r w:rsidR="004C7C14" w:rsidRPr="00B92499">
        <w:rPr>
          <w:rFonts w:ascii="Arial" w:hAnsi="Arial" w:cs="Arial"/>
          <w:color w:val="000000"/>
          <w:sz w:val="24"/>
          <w:szCs w:val="24"/>
          <w:lang w:val="es-ES_tradnl"/>
        </w:rPr>
        <w:t>s a las leyes y reglamentos aplicables. E</w:t>
      </w:r>
      <w:r w:rsidRPr="00B92499">
        <w:rPr>
          <w:rFonts w:ascii="Arial" w:hAnsi="Arial" w:cs="Arial"/>
          <w:sz w:val="24"/>
          <w:szCs w:val="24"/>
          <w:lang w:val="es-ES_tradnl"/>
        </w:rPr>
        <w:t>l área de oportunidad de las alcaldías respecto de esta fracción es actualizar el padrón de los giros mercantiles.</w:t>
      </w:r>
    </w:p>
    <w:p w14:paraId="3EB9D690" w14:textId="5E9F289D" w:rsidR="00A82DA1" w:rsidRPr="00B92499" w:rsidRDefault="00A82DA1" w:rsidP="00A82DA1">
      <w:pPr>
        <w:spacing w:before="100" w:beforeAutospacing="1" w:after="100" w:afterAutospacing="1" w:line="360" w:lineRule="auto"/>
        <w:contextualSpacing/>
        <w:jc w:val="both"/>
        <w:rPr>
          <w:rFonts w:ascii="Arial" w:hAnsi="Arial" w:cs="Arial"/>
        </w:rPr>
      </w:pPr>
      <w:r w:rsidRPr="00B92499">
        <w:rPr>
          <w:rFonts w:ascii="Arial" w:hAnsi="Arial" w:cs="Arial"/>
        </w:rPr>
        <w:t>De igual forma, las</w:t>
      </w:r>
      <w:r w:rsidR="000D67A7" w:rsidRPr="00B92499">
        <w:rPr>
          <w:rFonts w:ascii="Arial" w:hAnsi="Arial" w:cs="Arial"/>
        </w:rPr>
        <w:t xml:space="preserve"> 4 </w:t>
      </w:r>
      <w:r w:rsidRPr="00B92499">
        <w:rPr>
          <w:rFonts w:ascii="Arial" w:hAnsi="Arial" w:cs="Arial"/>
        </w:rPr>
        <w:t>fracciones con un ICP ubicadas en el rango de 92.49% y 94.40% son las que se detallan a continuación:</w:t>
      </w:r>
    </w:p>
    <w:p w14:paraId="7A6919DE" w14:textId="77777777" w:rsidR="00A82DA1" w:rsidRPr="00B92499" w:rsidRDefault="00A82DA1" w:rsidP="00A82DA1">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XIX, con un ICP de 92.49% en la cual</w:t>
      </w:r>
      <w:r w:rsidR="00EB5F64" w:rsidRPr="00B92499">
        <w:rPr>
          <w:rFonts w:ascii="Arial" w:hAnsi="Arial" w:cs="Arial"/>
          <w:sz w:val="24"/>
          <w:szCs w:val="24"/>
          <w:lang w:val="es-ES_tradnl"/>
        </w:rPr>
        <w:t xml:space="preserve"> se mandata la publicación de las autorizaciones de los números oficiales y alineamientos. </w:t>
      </w:r>
    </w:p>
    <w:p w14:paraId="2D124566" w14:textId="77777777" w:rsidR="00A82DA1" w:rsidRPr="00B92499" w:rsidRDefault="00A82DA1" w:rsidP="00A82DA1">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XII, con un ICP de 94.75% en la cual</w:t>
      </w:r>
      <w:r w:rsidR="00EB5F64" w:rsidRPr="00B92499">
        <w:rPr>
          <w:rFonts w:ascii="Arial" w:hAnsi="Arial" w:cs="Arial"/>
          <w:sz w:val="24"/>
          <w:szCs w:val="24"/>
          <w:lang w:val="es-ES_tradnl"/>
        </w:rPr>
        <w:t xml:space="preserve"> es señalada la obligación de publicar los montos asignados, desglose y avance trimestral del Presupuesto Participativo. </w:t>
      </w:r>
    </w:p>
    <w:p w14:paraId="30FD1553" w14:textId="77777777" w:rsidR="00A82DA1" w:rsidRPr="00B92499" w:rsidRDefault="00A82DA1" w:rsidP="00A82DA1">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V, con un ICP de 93.49% en la cual</w:t>
      </w:r>
      <w:r w:rsidR="00EB5F64" w:rsidRPr="00B92499">
        <w:rPr>
          <w:rFonts w:ascii="Arial" w:hAnsi="Arial" w:cs="Arial"/>
          <w:sz w:val="24"/>
          <w:szCs w:val="24"/>
          <w:lang w:val="es-ES_tradnl"/>
        </w:rPr>
        <w:t xml:space="preserve"> se mandata la publicación de información en materia presupuestal, el desglose del origen de los recursos asignados ya sea federal o local, señalando en su caso, el desglose de la cantidad que se destinará a programas de fortalecimiento de las Demarcaciones Territoriales. </w:t>
      </w:r>
    </w:p>
    <w:p w14:paraId="7827DEA0" w14:textId="56C31675" w:rsidR="00A82DA1" w:rsidRPr="00B92499" w:rsidRDefault="00A82DA1" w:rsidP="00A82DA1">
      <w:pPr>
        <w:pStyle w:val="Prrafodelista"/>
        <w:numPr>
          <w:ilvl w:val="0"/>
          <w:numId w:val="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II, con un ICP de 94.40% en la cual</w:t>
      </w:r>
      <w:r w:rsidR="00EB5F64" w:rsidRPr="00B92499">
        <w:rPr>
          <w:rFonts w:ascii="Arial" w:hAnsi="Arial" w:cs="Arial"/>
          <w:sz w:val="24"/>
          <w:szCs w:val="24"/>
          <w:lang w:val="es-ES_tradnl"/>
        </w:rPr>
        <w:t xml:space="preserve"> </w:t>
      </w:r>
      <w:r w:rsidR="00B12E30" w:rsidRPr="00B92499">
        <w:rPr>
          <w:rFonts w:ascii="Arial" w:hAnsi="Arial" w:cs="Arial"/>
          <w:sz w:val="24"/>
          <w:szCs w:val="24"/>
          <w:lang w:val="es-ES_tradnl"/>
        </w:rPr>
        <w:t>es</w:t>
      </w:r>
      <w:r w:rsidR="00EB5F64" w:rsidRPr="00B92499">
        <w:rPr>
          <w:rFonts w:ascii="Arial" w:hAnsi="Arial" w:cs="Arial"/>
          <w:sz w:val="24"/>
          <w:szCs w:val="24"/>
          <w:lang w:val="es-ES_tradnl"/>
        </w:rPr>
        <w:t xml:space="preserve"> señala</w:t>
      </w:r>
      <w:r w:rsidR="00B12E30" w:rsidRPr="00B92499">
        <w:rPr>
          <w:rFonts w:ascii="Arial" w:hAnsi="Arial" w:cs="Arial"/>
          <w:sz w:val="24"/>
          <w:szCs w:val="24"/>
          <w:lang w:val="es-ES_tradnl"/>
        </w:rPr>
        <w:t>da</w:t>
      </w:r>
      <w:r w:rsidR="00EB5F64" w:rsidRPr="00B92499">
        <w:rPr>
          <w:rFonts w:ascii="Arial" w:hAnsi="Arial" w:cs="Arial"/>
          <w:sz w:val="24"/>
          <w:szCs w:val="24"/>
          <w:lang w:val="es-ES_tradnl"/>
        </w:rPr>
        <w:t xml:space="preserve"> la obligación de publicar el calendario con las actividades culturales, deportivas y recreativas a realizar; así como el presupuesto y acciones para la rehabilitación y mantenimiento de su infraestructura. </w:t>
      </w:r>
    </w:p>
    <w:p w14:paraId="2C949949" w14:textId="1A4A9944" w:rsidR="00A82DA1" w:rsidRPr="00B92499" w:rsidRDefault="00B12E30" w:rsidP="00A82DA1">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124 es presentada la siguiente tabla ordenada de forma descendente</w:t>
      </w:r>
    </w:p>
    <w:tbl>
      <w:tblPr>
        <w:tblW w:w="9209" w:type="dxa"/>
        <w:tblCellMar>
          <w:left w:w="70" w:type="dxa"/>
          <w:right w:w="70" w:type="dxa"/>
        </w:tblCellMar>
        <w:tblLook w:val="04A0" w:firstRow="1" w:lastRow="0" w:firstColumn="1" w:lastColumn="0" w:noHBand="0" w:noVBand="1"/>
      </w:tblPr>
      <w:tblGrid>
        <w:gridCol w:w="1781"/>
        <w:gridCol w:w="6436"/>
        <w:gridCol w:w="992"/>
      </w:tblGrid>
      <w:tr w:rsidR="00A82DA1" w:rsidRPr="00B92499" w14:paraId="55B870F9" w14:textId="77777777" w:rsidTr="00EB5F64">
        <w:trPr>
          <w:trHeight w:val="20"/>
          <w:tblHeader/>
        </w:trPr>
        <w:tc>
          <w:tcPr>
            <w:tcW w:w="9209"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5BC9546B" w14:textId="063AAAFD" w:rsidR="00A82DA1" w:rsidRPr="00B92499" w:rsidRDefault="00A82DA1" w:rsidP="00A82DA1">
            <w:pPr>
              <w:jc w:val="center"/>
              <w:rPr>
                <w:rFonts w:ascii="Arial" w:hAnsi="Arial" w:cs="Arial"/>
                <w:b/>
                <w:bCs/>
                <w:color w:val="000000"/>
                <w:sz w:val="20"/>
                <w:szCs w:val="20"/>
              </w:rPr>
            </w:pPr>
            <w:r w:rsidRPr="00B92499">
              <w:rPr>
                <w:rFonts w:ascii="Arial" w:hAnsi="Arial" w:cs="Arial"/>
                <w:b/>
                <w:bCs/>
                <w:color w:val="000000"/>
                <w:sz w:val="20"/>
                <w:szCs w:val="20"/>
              </w:rPr>
              <w:t xml:space="preserve">Artículo 124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A82DA1" w:rsidRPr="00B92499" w14:paraId="1B06A4EA" w14:textId="77777777" w:rsidTr="00EB5F64">
        <w:trPr>
          <w:trHeight w:val="20"/>
          <w:tblHeader/>
        </w:trPr>
        <w:tc>
          <w:tcPr>
            <w:tcW w:w="1781" w:type="dxa"/>
            <w:tcBorders>
              <w:top w:val="nil"/>
              <w:left w:val="single" w:sz="4" w:space="0" w:color="auto"/>
              <w:bottom w:val="single" w:sz="4" w:space="0" w:color="auto"/>
              <w:right w:val="single" w:sz="4" w:space="0" w:color="auto"/>
            </w:tcBorders>
            <w:shd w:val="clear" w:color="000000" w:fill="5B9BD5"/>
            <w:noWrap/>
            <w:vAlign w:val="center"/>
            <w:hideMark/>
          </w:tcPr>
          <w:p w14:paraId="1FD2F413" w14:textId="77777777" w:rsidR="00A82DA1" w:rsidRPr="00B92499" w:rsidRDefault="00A82DA1" w:rsidP="00A82DA1">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6436" w:type="dxa"/>
            <w:tcBorders>
              <w:top w:val="nil"/>
              <w:left w:val="nil"/>
              <w:bottom w:val="single" w:sz="4" w:space="0" w:color="auto"/>
              <w:right w:val="single" w:sz="4" w:space="0" w:color="auto"/>
            </w:tcBorders>
            <w:shd w:val="clear" w:color="000000" w:fill="5B9BD5"/>
            <w:noWrap/>
            <w:vAlign w:val="center"/>
            <w:hideMark/>
          </w:tcPr>
          <w:p w14:paraId="7AEA3ACA" w14:textId="77777777" w:rsidR="00A82DA1" w:rsidRPr="00B92499" w:rsidRDefault="00A82DA1" w:rsidP="00A82DA1">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992" w:type="dxa"/>
            <w:tcBorders>
              <w:top w:val="nil"/>
              <w:left w:val="nil"/>
              <w:bottom w:val="single" w:sz="4" w:space="0" w:color="auto"/>
              <w:right w:val="single" w:sz="4" w:space="0" w:color="auto"/>
            </w:tcBorders>
            <w:shd w:val="clear" w:color="000000" w:fill="5B9BD5"/>
            <w:vAlign w:val="center"/>
            <w:hideMark/>
          </w:tcPr>
          <w:p w14:paraId="06DE58F0" w14:textId="77777777" w:rsidR="00A82DA1" w:rsidRPr="00B92499" w:rsidRDefault="00A82DA1" w:rsidP="00A82DA1">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A82DA1" w:rsidRPr="00B92499" w14:paraId="3D4ABE8F"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68F1618C"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II</w:t>
            </w:r>
          </w:p>
        </w:tc>
        <w:tc>
          <w:tcPr>
            <w:tcW w:w="6436" w:type="dxa"/>
            <w:tcBorders>
              <w:top w:val="nil"/>
              <w:left w:val="nil"/>
              <w:bottom w:val="single" w:sz="4" w:space="0" w:color="auto"/>
              <w:right w:val="single" w:sz="4" w:space="0" w:color="auto"/>
            </w:tcBorders>
            <w:shd w:val="clear" w:color="auto" w:fill="auto"/>
            <w:vAlign w:val="center"/>
            <w:hideMark/>
          </w:tcPr>
          <w:p w14:paraId="0F382F13" w14:textId="109A7EBA"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El calendario con las actividades culturales, deportivas y recreativas a realizar; así como el presupuesto y acciones para la rehabilitación y mantenimiento de su infraestructura</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79729F00"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94.40</w:t>
            </w:r>
          </w:p>
        </w:tc>
      </w:tr>
      <w:tr w:rsidR="00A82DA1" w:rsidRPr="00B92499" w14:paraId="07BFBF7B"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777D3BA7"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V</w:t>
            </w:r>
          </w:p>
        </w:tc>
        <w:tc>
          <w:tcPr>
            <w:tcW w:w="6436" w:type="dxa"/>
            <w:tcBorders>
              <w:top w:val="nil"/>
              <w:left w:val="nil"/>
              <w:bottom w:val="single" w:sz="4" w:space="0" w:color="auto"/>
              <w:right w:val="single" w:sz="4" w:space="0" w:color="auto"/>
            </w:tcBorders>
            <w:shd w:val="clear" w:color="auto" w:fill="auto"/>
            <w:vAlign w:val="center"/>
            <w:hideMark/>
          </w:tcPr>
          <w:p w14:paraId="1A666F5B" w14:textId="11FC5860"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En materia presupuestal, el desglose del origen y destino de los recursos asignados ya sea federal o local, y señalando en su caso, el desglose de la cantidad que se destinará a programas de fortalecimiento de los Órganos Políticos Administrativos, Alcaldías o Demarcaciones Territoriales</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66CAA8EF"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93.49</w:t>
            </w:r>
          </w:p>
        </w:tc>
      </w:tr>
      <w:tr w:rsidR="00A82DA1" w:rsidRPr="00B92499" w14:paraId="1C676D96"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62217F50"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lastRenderedPageBreak/>
              <w:t>XII</w:t>
            </w:r>
          </w:p>
        </w:tc>
        <w:tc>
          <w:tcPr>
            <w:tcW w:w="6436" w:type="dxa"/>
            <w:tcBorders>
              <w:top w:val="nil"/>
              <w:left w:val="nil"/>
              <w:bottom w:val="single" w:sz="4" w:space="0" w:color="auto"/>
              <w:right w:val="single" w:sz="4" w:space="0" w:color="auto"/>
            </w:tcBorders>
            <w:shd w:val="clear" w:color="auto" w:fill="auto"/>
            <w:vAlign w:val="center"/>
            <w:hideMark/>
          </w:tcPr>
          <w:p w14:paraId="3A1E11A8" w14:textId="18D71433"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La publicación de los montos asignados, desglose y avance trimestral del Presupuesto Participativo</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2E981B98"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92.75</w:t>
            </w:r>
          </w:p>
        </w:tc>
      </w:tr>
      <w:tr w:rsidR="00A82DA1" w:rsidRPr="00B92499" w14:paraId="058110C5"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46E3E564"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XIX</w:t>
            </w:r>
          </w:p>
        </w:tc>
        <w:tc>
          <w:tcPr>
            <w:tcW w:w="6436" w:type="dxa"/>
            <w:tcBorders>
              <w:top w:val="nil"/>
              <w:left w:val="nil"/>
              <w:bottom w:val="single" w:sz="4" w:space="0" w:color="auto"/>
              <w:right w:val="single" w:sz="4" w:space="0" w:color="auto"/>
            </w:tcBorders>
            <w:shd w:val="clear" w:color="auto" w:fill="auto"/>
            <w:noWrap/>
            <w:vAlign w:val="center"/>
            <w:hideMark/>
          </w:tcPr>
          <w:p w14:paraId="2FE3F543" w14:textId="77777777"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Las autorizaciones de los números oficiales y alineamientos</w:t>
            </w:r>
          </w:p>
        </w:tc>
        <w:tc>
          <w:tcPr>
            <w:tcW w:w="992" w:type="dxa"/>
            <w:tcBorders>
              <w:top w:val="nil"/>
              <w:left w:val="nil"/>
              <w:bottom w:val="single" w:sz="4" w:space="0" w:color="auto"/>
              <w:right w:val="single" w:sz="4" w:space="0" w:color="auto"/>
            </w:tcBorders>
            <w:shd w:val="clear" w:color="auto" w:fill="auto"/>
            <w:noWrap/>
            <w:vAlign w:val="center"/>
            <w:hideMark/>
          </w:tcPr>
          <w:p w14:paraId="5744CD33"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92.49</w:t>
            </w:r>
          </w:p>
        </w:tc>
      </w:tr>
      <w:tr w:rsidR="00A82DA1" w:rsidRPr="00B92499" w14:paraId="33E24688"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436D16FB"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XIII</w:t>
            </w:r>
          </w:p>
        </w:tc>
        <w:tc>
          <w:tcPr>
            <w:tcW w:w="6436" w:type="dxa"/>
            <w:tcBorders>
              <w:top w:val="nil"/>
              <w:left w:val="nil"/>
              <w:bottom w:val="single" w:sz="4" w:space="0" w:color="auto"/>
              <w:right w:val="single" w:sz="4" w:space="0" w:color="auto"/>
            </w:tcBorders>
            <w:shd w:val="clear" w:color="auto" w:fill="auto"/>
            <w:vAlign w:val="center"/>
            <w:hideMark/>
          </w:tcPr>
          <w:p w14:paraId="4B17649D" w14:textId="77777777"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Calendario con horarios, número de unidad y teléfonos de servicio de recolección de basura</w:t>
            </w:r>
          </w:p>
        </w:tc>
        <w:tc>
          <w:tcPr>
            <w:tcW w:w="992" w:type="dxa"/>
            <w:tcBorders>
              <w:top w:val="nil"/>
              <w:left w:val="nil"/>
              <w:bottom w:val="single" w:sz="4" w:space="0" w:color="auto"/>
              <w:right w:val="single" w:sz="4" w:space="0" w:color="auto"/>
            </w:tcBorders>
            <w:shd w:val="clear" w:color="auto" w:fill="auto"/>
            <w:noWrap/>
            <w:vAlign w:val="center"/>
            <w:hideMark/>
          </w:tcPr>
          <w:p w14:paraId="5B7BB52C"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91.80</w:t>
            </w:r>
          </w:p>
        </w:tc>
      </w:tr>
      <w:tr w:rsidR="00A82DA1" w:rsidRPr="00B92499" w14:paraId="598FF401"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0AB89851"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III</w:t>
            </w:r>
          </w:p>
        </w:tc>
        <w:tc>
          <w:tcPr>
            <w:tcW w:w="6436" w:type="dxa"/>
            <w:tcBorders>
              <w:top w:val="nil"/>
              <w:left w:val="nil"/>
              <w:bottom w:val="single" w:sz="4" w:space="0" w:color="auto"/>
              <w:right w:val="single" w:sz="4" w:space="0" w:color="auto"/>
            </w:tcBorders>
            <w:shd w:val="clear" w:color="auto" w:fill="auto"/>
            <w:vAlign w:val="center"/>
            <w:hideMark/>
          </w:tcPr>
          <w:p w14:paraId="66B804C9" w14:textId="77777777"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Relación de los integrantes de los comités y subcomités establecidos por la normatividad vigente, actas de las sesiones y sus acuerdos</w:t>
            </w:r>
          </w:p>
        </w:tc>
        <w:tc>
          <w:tcPr>
            <w:tcW w:w="992" w:type="dxa"/>
            <w:tcBorders>
              <w:top w:val="nil"/>
              <w:left w:val="nil"/>
              <w:bottom w:val="single" w:sz="4" w:space="0" w:color="auto"/>
              <w:right w:val="single" w:sz="4" w:space="0" w:color="auto"/>
            </w:tcBorders>
            <w:shd w:val="clear" w:color="auto" w:fill="auto"/>
            <w:noWrap/>
            <w:vAlign w:val="center"/>
            <w:hideMark/>
          </w:tcPr>
          <w:p w14:paraId="3C9C770D"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91.45</w:t>
            </w:r>
          </w:p>
        </w:tc>
      </w:tr>
      <w:tr w:rsidR="00A82DA1" w:rsidRPr="00B92499" w14:paraId="29F9EEF3"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0290B2BE"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VIII</w:t>
            </w:r>
          </w:p>
        </w:tc>
        <w:tc>
          <w:tcPr>
            <w:tcW w:w="6436" w:type="dxa"/>
            <w:tcBorders>
              <w:top w:val="nil"/>
              <w:left w:val="nil"/>
              <w:bottom w:val="single" w:sz="4" w:space="0" w:color="auto"/>
              <w:right w:val="single" w:sz="4" w:space="0" w:color="auto"/>
            </w:tcBorders>
            <w:shd w:val="clear" w:color="auto" w:fill="auto"/>
            <w:vAlign w:val="center"/>
            <w:hideMark/>
          </w:tcPr>
          <w:p w14:paraId="0425D77A" w14:textId="77777777" w:rsidR="00A82DA1" w:rsidRPr="00B92499" w:rsidRDefault="00A82DA1" w:rsidP="005A7A81">
            <w:pPr>
              <w:jc w:val="both"/>
              <w:rPr>
                <w:rFonts w:ascii="Arial" w:hAnsi="Arial" w:cs="Arial"/>
                <w:color w:val="000000"/>
                <w:sz w:val="20"/>
                <w:szCs w:val="20"/>
              </w:rPr>
            </w:pPr>
            <w:r w:rsidRPr="00B92499">
              <w:rPr>
                <w:rFonts w:ascii="Arial" w:hAnsi="Arial" w:cs="Arial"/>
                <w:color w:val="000000"/>
                <w:sz w:val="20"/>
                <w:szCs w:val="20"/>
              </w:rPr>
              <w:t>La información desagregada sobre el presupuesto que destinar</w:t>
            </w:r>
            <w:r w:rsidR="005A7A81" w:rsidRPr="00B92499">
              <w:rPr>
                <w:rFonts w:ascii="Arial" w:hAnsi="Arial" w:cs="Arial"/>
                <w:color w:val="000000"/>
                <w:sz w:val="20"/>
                <w:szCs w:val="20"/>
              </w:rPr>
              <w:t>á</w:t>
            </w:r>
            <w:r w:rsidRPr="00B92499">
              <w:rPr>
                <w:rFonts w:ascii="Arial" w:hAnsi="Arial" w:cs="Arial"/>
                <w:color w:val="000000"/>
                <w:sz w:val="20"/>
                <w:szCs w:val="20"/>
              </w:rPr>
              <w:t>n al rubro de mercados, así como el padrón de locatarios, nombre y ubicación de los mercados públicos en su demarcación territorial</w:t>
            </w:r>
          </w:p>
        </w:tc>
        <w:tc>
          <w:tcPr>
            <w:tcW w:w="992" w:type="dxa"/>
            <w:tcBorders>
              <w:top w:val="nil"/>
              <w:left w:val="nil"/>
              <w:bottom w:val="single" w:sz="4" w:space="0" w:color="auto"/>
              <w:right w:val="single" w:sz="4" w:space="0" w:color="auto"/>
            </w:tcBorders>
            <w:shd w:val="clear" w:color="auto" w:fill="auto"/>
            <w:noWrap/>
            <w:vAlign w:val="center"/>
            <w:hideMark/>
          </w:tcPr>
          <w:p w14:paraId="3AC81C7E"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90.53</w:t>
            </w:r>
          </w:p>
        </w:tc>
      </w:tr>
      <w:tr w:rsidR="00A82DA1" w:rsidRPr="00B92499" w14:paraId="232F29E9"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74509B05"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XVIII</w:t>
            </w:r>
          </w:p>
        </w:tc>
        <w:tc>
          <w:tcPr>
            <w:tcW w:w="6436" w:type="dxa"/>
            <w:tcBorders>
              <w:top w:val="nil"/>
              <w:left w:val="nil"/>
              <w:bottom w:val="single" w:sz="4" w:space="0" w:color="auto"/>
              <w:right w:val="single" w:sz="4" w:space="0" w:color="auto"/>
            </w:tcBorders>
            <w:shd w:val="clear" w:color="auto" w:fill="auto"/>
            <w:noWrap/>
            <w:vAlign w:val="center"/>
            <w:hideMark/>
          </w:tcPr>
          <w:p w14:paraId="5357F83D" w14:textId="0E2E9A48"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avisos de obra dentro de su jurisdicción</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70DB2BE0"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89.80</w:t>
            </w:r>
          </w:p>
        </w:tc>
      </w:tr>
      <w:tr w:rsidR="00A82DA1" w:rsidRPr="00B92499" w14:paraId="4B944417"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63679B18"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IV</w:t>
            </w:r>
          </w:p>
        </w:tc>
        <w:tc>
          <w:tcPr>
            <w:tcW w:w="6436" w:type="dxa"/>
            <w:tcBorders>
              <w:top w:val="nil"/>
              <w:left w:val="nil"/>
              <w:bottom w:val="single" w:sz="4" w:space="0" w:color="auto"/>
              <w:right w:val="single" w:sz="4" w:space="0" w:color="auto"/>
            </w:tcBorders>
            <w:shd w:val="clear" w:color="auto" w:fill="auto"/>
            <w:vAlign w:val="center"/>
            <w:hideMark/>
          </w:tcPr>
          <w:p w14:paraId="18B5E48D" w14:textId="2CE18703"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Sobre el ejercicio del presupuesto deberá publicarse el calendario trimestral sobre la ejecución de las aportaciones federales y locales, pudiendo identificar el programa para el cual se destinaron y, en su caso, el monto del gasto asignado</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150DC03B"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89.30</w:t>
            </w:r>
          </w:p>
        </w:tc>
      </w:tr>
      <w:tr w:rsidR="00A82DA1" w:rsidRPr="00B92499" w14:paraId="4CFCA757"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12050A17"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w:t>
            </w:r>
          </w:p>
        </w:tc>
        <w:tc>
          <w:tcPr>
            <w:tcW w:w="6436" w:type="dxa"/>
            <w:tcBorders>
              <w:top w:val="nil"/>
              <w:left w:val="nil"/>
              <w:bottom w:val="single" w:sz="4" w:space="0" w:color="auto"/>
              <w:right w:val="single" w:sz="4" w:space="0" w:color="auto"/>
            </w:tcBorders>
            <w:shd w:val="clear" w:color="auto" w:fill="auto"/>
            <w:vAlign w:val="center"/>
            <w:hideMark/>
          </w:tcPr>
          <w:p w14:paraId="6660BEC3" w14:textId="4642890F"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Publicar domicilio, número telefónico y nombre del responsable del Centro de Servicios y Atención Ciudadana o su equivalent</w:t>
            </w:r>
            <w:r w:rsidR="00490622" w:rsidRPr="00B92499">
              <w:rPr>
                <w:rFonts w:ascii="Arial" w:hAnsi="Arial" w:cs="Arial"/>
                <w:color w:val="000000"/>
                <w:sz w:val="20"/>
                <w:szCs w:val="20"/>
              </w:rPr>
              <w:t>e.</w:t>
            </w:r>
          </w:p>
        </w:tc>
        <w:tc>
          <w:tcPr>
            <w:tcW w:w="992" w:type="dxa"/>
            <w:tcBorders>
              <w:top w:val="nil"/>
              <w:left w:val="nil"/>
              <w:bottom w:val="single" w:sz="4" w:space="0" w:color="auto"/>
              <w:right w:val="single" w:sz="4" w:space="0" w:color="auto"/>
            </w:tcBorders>
            <w:shd w:val="clear" w:color="auto" w:fill="auto"/>
            <w:noWrap/>
            <w:vAlign w:val="center"/>
            <w:hideMark/>
          </w:tcPr>
          <w:p w14:paraId="288337B3"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89.06</w:t>
            </w:r>
          </w:p>
        </w:tc>
      </w:tr>
      <w:tr w:rsidR="00A82DA1" w:rsidRPr="00B92499" w14:paraId="2E7DC95C"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13ACA23B"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XX</w:t>
            </w:r>
          </w:p>
        </w:tc>
        <w:tc>
          <w:tcPr>
            <w:tcW w:w="6436" w:type="dxa"/>
            <w:tcBorders>
              <w:top w:val="nil"/>
              <w:left w:val="nil"/>
              <w:bottom w:val="single" w:sz="4" w:space="0" w:color="auto"/>
              <w:right w:val="single" w:sz="4" w:space="0" w:color="auto"/>
            </w:tcBorders>
            <w:shd w:val="clear" w:color="auto" w:fill="auto"/>
            <w:noWrap/>
            <w:vAlign w:val="center"/>
            <w:hideMark/>
          </w:tcPr>
          <w:p w14:paraId="60D85AF1" w14:textId="0190D6A6"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permisos para el uso de la vía pública</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6725C184"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88.75</w:t>
            </w:r>
          </w:p>
        </w:tc>
      </w:tr>
      <w:tr w:rsidR="00A82DA1" w:rsidRPr="00B92499" w14:paraId="1A375E76"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2AA2912F"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I</w:t>
            </w:r>
          </w:p>
        </w:tc>
        <w:tc>
          <w:tcPr>
            <w:tcW w:w="6436" w:type="dxa"/>
            <w:tcBorders>
              <w:top w:val="nil"/>
              <w:left w:val="nil"/>
              <w:bottom w:val="single" w:sz="4" w:space="0" w:color="auto"/>
              <w:right w:val="single" w:sz="4" w:space="0" w:color="auto"/>
            </w:tcBorders>
            <w:shd w:val="clear" w:color="auto" w:fill="auto"/>
            <w:noWrap/>
            <w:vAlign w:val="center"/>
            <w:hideMark/>
          </w:tcPr>
          <w:p w14:paraId="39A88BD8" w14:textId="2C875BBF"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indicadores oficiales de los servicios públicos que presten</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1209BA28"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87.02</w:t>
            </w:r>
          </w:p>
        </w:tc>
      </w:tr>
      <w:tr w:rsidR="00A82DA1" w:rsidRPr="00B92499" w14:paraId="18D89B97"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592F84BF"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XIV</w:t>
            </w:r>
          </w:p>
        </w:tc>
        <w:tc>
          <w:tcPr>
            <w:tcW w:w="6436" w:type="dxa"/>
            <w:tcBorders>
              <w:top w:val="nil"/>
              <w:left w:val="nil"/>
              <w:bottom w:val="single" w:sz="4" w:space="0" w:color="auto"/>
              <w:right w:val="single" w:sz="4" w:space="0" w:color="auto"/>
            </w:tcBorders>
            <w:shd w:val="clear" w:color="auto" w:fill="auto"/>
            <w:vAlign w:val="center"/>
            <w:hideMark/>
          </w:tcPr>
          <w:p w14:paraId="0F046FDA" w14:textId="5FD78621"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Planes y Programas de Desarrollo Urbano y las certificaciones actualizadas de uso del suelo que se hayan expedido, procurando su georreferenciación o imagen</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3843B737"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86.76</w:t>
            </w:r>
          </w:p>
        </w:tc>
      </w:tr>
      <w:tr w:rsidR="00A82DA1" w:rsidRPr="00B92499" w14:paraId="06F91852"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48D5A4D4"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XVII</w:t>
            </w:r>
          </w:p>
        </w:tc>
        <w:tc>
          <w:tcPr>
            <w:tcW w:w="6436" w:type="dxa"/>
            <w:tcBorders>
              <w:top w:val="nil"/>
              <w:left w:val="nil"/>
              <w:bottom w:val="single" w:sz="4" w:space="0" w:color="auto"/>
              <w:right w:val="single" w:sz="4" w:space="0" w:color="auto"/>
            </w:tcBorders>
            <w:shd w:val="clear" w:color="auto" w:fill="auto"/>
            <w:vAlign w:val="center"/>
            <w:hideMark/>
          </w:tcPr>
          <w:p w14:paraId="472142F7" w14:textId="6A4179DD"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proyectos productivos que</w:t>
            </w:r>
            <w:r w:rsidR="00C7683E" w:rsidRPr="00B92499">
              <w:rPr>
                <w:rFonts w:ascii="Arial" w:hAnsi="Arial" w:cs="Arial"/>
                <w:color w:val="000000"/>
                <w:sz w:val="20"/>
                <w:szCs w:val="20"/>
              </w:rPr>
              <w:t>,</w:t>
            </w:r>
            <w:r w:rsidRPr="00B92499">
              <w:rPr>
                <w:rFonts w:ascii="Arial" w:hAnsi="Arial" w:cs="Arial"/>
                <w:color w:val="000000"/>
                <w:sz w:val="20"/>
                <w:szCs w:val="20"/>
              </w:rPr>
              <w:t xml:space="preserve"> en el ámbito de su jurisdicción, protejan e incentiven el empleo</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6212D16C"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85.24</w:t>
            </w:r>
          </w:p>
        </w:tc>
      </w:tr>
      <w:tr w:rsidR="00A82DA1" w:rsidRPr="00B92499" w14:paraId="659750EA"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1D26AD7A"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IX</w:t>
            </w:r>
          </w:p>
        </w:tc>
        <w:tc>
          <w:tcPr>
            <w:tcW w:w="6436" w:type="dxa"/>
            <w:tcBorders>
              <w:top w:val="nil"/>
              <w:left w:val="nil"/>
              <w:bottom w:val="single" w:sz="4" w:space="0" w:color="auto"/>
              <w:right w:val="single" w:sz="4" w:space="0" w:color="auto"/>
            </w:tcBorders>
            <w:shd w:val="clear" w:color="auto" w:fill="auto"/>
            <w:vAlign w:val="center"/>
            <w:hideMark/>
          </w:tcPr>
          <w:p w14:paraId="6FD9D0D2" w14:textId="6CECFB95"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La Autoridad de las Demarcaciones Territoriales deberá publicar y difundir a través de medios impresos o electrónicos</w:t>
            </w:r>
            <w:r w:rsidR="00B12E30" w:rsidRPr="00B92499">
              <w:rPr>
                <w:rFonts w:ascii="Arial" w:hAnsi="Arial" w:cs="Arial"/>
                <w:color w:val="000000"/>
                <w:sz w:val="20"/>
                <w:szCs w:val="20"/>
              </w:rPr>
              <w:t>,</w:t>
            </w:r>
            <w:r w:rsidRPr="00B92499">
              <w:rPr>
                <w:rFonts w:ascii="Arial" w:hAnsi="Arial" w:cs="Arial"/>
                <w:color w:val="000000"/>
                <w:sz w:val="20"/>
                <w:szCs w:val="20"/>
              </w:rPr>
              <w:t xml:space="preserve"> información vigente y actualizada del gasto realizado por concepto de pago de asesorías</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122D0EA3"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84.57</w:t>
            </w:r>
          </w:p>
        </w:tc>
      </w:tr>
      <w:tr w:rsidR="00A82DA1" w:rsidRPr="00B92499" w14:paraId="3E527F39"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790808B5"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VI</w:t>
            </w:r>
          </w:p>
        </w:tc>
        <w:tc>
          <w:tcPr>
            <w:tcW w:w="6436" w:type="dxa"/>
            <w:tcBorders>
              <w:top w:val="nil"/>
              <w:left w:val="nil"/>
              <w:bottom w:val="single" w:sz="4" w:space="0" w:color="auto"/>
              <w:right w:val="single" w:sz="4" w:space="0" w:color="auto"/>
            </w:tcBorders>
            <w:shd w:val="clear" w:color="auto" w:fill="auto"/>
            <w:vAlign w:val="center"/>
            <w:hideMark/>
          </w:tcPr>
          <w:p w14:paraId="4442F094" w14:textId="5A7C7D56"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En el caso de la información sobre programas de ayudas o subsidios, se deberá considerar toda aquella información sobre los programas sociales, sus montos y padrón de beneficiarios</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57143C19"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82.85</w:t>
            </w:r>
          </w:p>
        </w:tc>
      </w:tr>
      <w:tr w:rsidR="00A82DA1" w:rsidRPr="00B92499" w14:paraId="723AF1E2"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7DE77602"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XXIII</w:t>
            </w:r>
          </w:p>
        </w:tc>
        <w:tc>
          <w:tcPr>
            <w:tcW w:w="6436" w:type="dxa"/>
            <w:tcBorders>
              <w:top w:val="nil"/>
              <w:left w:val="nil"/>
              <w:bottom w:val="single" w:sz="4" w:space="0" w:color="auto"/>
              <w:right w:val="single" w:sz="4" w:space="0" w:color="auto"/>
            </w:tcBorders>
            <w:shd w:val="clear" w:color="auto" w:fill="auto"/>
            <w:vAlign w:val="center"/>
            <w:hideMark/>
          </w:tcPr>
          <w:p w14:paraId="33A735CB" w14:textId="74E12FF8"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Calendario de audiencias públicas y de recorridos del titular del órgano político administrativo, alcaldía o demarcación territorial</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30C78B62"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82.81</w:t>
            </w:r>
          </w:p>
        </w:tc>
      </w:tr>
      <w:tr w:rsidR="00A82DA1" w:rsidRPr="00B92499" w14:paraId="24B4D9C7"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5A5E6FA6"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XXI</w:t>
            </w:r>
          </w:p>
        </w:tc>
        <w:tc>
          <w:tcPr>
            <w:tcW w:w="6436" w:type="dxa"/>
            <w:tcBorders>
              <w:top w:val="nil"/>
              <w:left w:val="nil"/>
              <w:bottom w:val="single" w:sz="4" w:space="0" w:color="auto"/>
              <w:right w:val="single" w:sz="4" w:space="0" w:color="auto"/>
            </w:tcBorders>
            <w:shd w:val="clear" w:color="auto" w:fill="auto"/>
            <w:vAlign w:val="center"/>
            <w:hideMark/>
          </w:tcPr>
          <w:p w14:paraId="73EE1994" w14:textId="7DFA343A"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 xml:space="preserve">Los programas y acciones de apoyo que </w:t>
            </w:r>
            <w:r w:rsidR="005A7A81" w:rsidRPr="00B92499">
              <w:rPr>
                <w:rFonts w:ascii="Arial" w:hAnsi="Arial" w:cs="Arial"/>
                <w:color w:val="000000"/>
                <w:sz w:val="20"/>
                <w:szCs w:val="20"/>
              </w:rPr>
              <w:t xml:space="preserve">incentiven la equidad de género en </w:t>
            </w:r>
            <w:r w:rsidRPr="00B92499">
              <w:rPr>
                <w:rFonts w:ascii="Arial" w:hAnsi="Arial" w:cs="Arial"/>
                <w:color w:val="000000"/>
                <w:sz w:val="20"/>
                <w:szCs w:val="20"/>
              </w:rPr>
              <w:t>los diversos ámbitos del desarrollo</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105840A6"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82.63</w:t>
            </w:r>
          </w:p>
        </w:tc>
      </w:tr>
      <w:tr w:rsidR="00A82DA1" w:rsidRPr="00B92499" w14:paraId="086DFA81"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491366FB"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XI</w:t>
            </w:r>
          </w:p>
        </w:tc>
        <w:tc>
          <w:tcPr>
            <w:tcW w:w="6436" w:type="dxa"/>
            <w:tcBorders>
              <w:top w:val="nil"/>
              <w:left w:val="nil"/>
              <w:bottom w:val="single" w:sz="4" w:space="0" w:color="auto"/>
              <w:right w:val="single" w:sz="4" w:space="0" w:color="auto"/>
            </w:tcBorders>
            <w:shd w:val="clear" w:color="auto" w:fill="auto"/>
            <w:vAlign w:val="center"/>
            <w:hideMark/>
          </w:tcPr>
          <w:p w14:paraId="08629429" w14:textId="02B28E15"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La publicación del padrón de contralores ciudadanos que participan en los distintos comités de la administración pública de la delegación</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48DAAEBA"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80.94</w:t>
            </w:r>
          </w:p>
        </w:tc>
      </w:tr>
      <w:tr w:rsidR="00A82DA1" w:rsidRPr="00B92499" w14:paraId="0C0764E8"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7E2FCDAC"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VII</w:t>
            </w:r>
          </w:p>
        </w:tc>
        <w:tc>
          <w:tcPr>
            <w:tcW w:w="6436" w:type="dxa"/>
            <w:tcBorders>
              <w:top w:val="nil"/>
              <w:left w:val="nil"/>
              <w:bottom w:val="single" w:sz="4" w:space="0" w:color="auto"/>
              <w:right w:val="single" w:sz="4" w:space="0" w:color="auto"/>
            </w:tcBorders>
            <w:shd w:val="clear" w:color="auto" w:fill="auto"/>
            <w:vAlign w:val="center"/>
            <w:hideMark/>
          </w:tcPr>
          <w:p w14:paraId="0AF24323" w14:textId="17017C98"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Programas de Desarrollo Delegacionales, o su equivalente, vinculados con sus programas operativos anuales y sectoriales y los respectivos indicadores de gestión que permitan conocer las metas, así como los avances físico y financieros. Sobre los indicadores de gestión se deberá difundir, además, el método de evaluación con una justificación de los resultados obtenidos y el monto de los recursos públicos asignados para su cumplimiento</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0B064EBD"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80.52</w:t>
            </w:r>
          </w:p>
        </w:tc>
      </w:tr>
      <w:tr w:rsidR="00A82DA1" w:rsidRPr="00B92499" w14:paraId="4DCB0A72"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12B6CD42"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XV</w:t>
            </w:r>
          </w:p>
        </w:tc>
        <w:tc>
          <w:tcPr>
            <w:tcW w:w="6436" w:type="dxa"/>
            <w:tcBorders>
              <w:top w:val="nil"/>
              <w:left w:val="nil"/>
              <w:bottom w:val="single" w:sz="4" w:space="0" w:color="auto"/>
              <w:right w:val="single" w:sz="4" w:space="0" w:color="auto"/>
            </w:tcBorders>
            <w:shd w:val="clear" w:color="auto" w:fill="auto"/>
            <w:vAlign w:val="center"/>
            <w:hideMark/>
          </w:tcPr>
          <w:p w14:paraId="09ED2091" w14:textId="2EF54D9E"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 xml:space="preserve">El padrón actualizado de los giros mercantiles que funcionen en su jurisdicción y las licencias y autorizaciones otorgadas para el funcionamiento de los giros </w:t>
            </w:r>
            <w:r w:rsidR="008710F6" w:rsidRPr="00B92499">
              <w:rPr>
                <w:rFonts w:ascii="Arial" w:hAnsi="Arial" w:cs="Arial"/>
                <w:color w:val="000000"/>
                <w:sz w:val="20"/>
                <w:szCs w:val="20"/>
              </w:rPr>
              <w:t>sujeto</w:t>
            </w:r>
            <w:r w:rsidRPr="00B92499">
              <w:rPr>
                <w:rFonts w:ascii="Arial" w:hAnsi="Arial" w:cs="Arial"/>
                <w:color w:val="000000"/>
                <w:sz w:val="20"/>
                <w:szCs w:val="20"/>
              </w:rPr>
              <w:t>s a las leyes y reglamentos aplicables</w:t>
            </w:r>
          </w:p>
        </w:tc>
        <w:tc>
          <w:tcPr>
            <w:tcW w:w="992" w:type="dxa"/>
            <w:tcBorders>
              <w:top w:val="nil"/>
              <w:left w:val="nil"/>
              <w:bottom w:val="single" w:sz="4" w:space="0" w:color="auto"/>
              <w:right w:val="single" w:sz="4" w:space="0" w:color="auto"/>
            </w:tcBorders>
            <w:shd w:val="clear" w:color="auto" w:fill="auto"/>
            <w:noWrap/>
            <w:vAlign w:val="center"/>
            <w:hideMark/>
          </w:tcPr>
          <w:p w14:paraId="69070801"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79.83</w:t>
            </w:r>
          </w:p>
        </w:tc>
      </w:tr>
      <w:tr w:rsidR="00A82DA1" w:rsidRPr="00B92499" w14:paraId="1C095040"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015C8977"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XXII</w:t>
            </w:r>
          </w:p>
        </w:tc>
        <w:tc>
          <w:tcPr>
            <w:tcW w:w="6436" w:type="dxa"/>
            <w:tcBorders>
              <w:top w:val="nil"/>
              <w:left w:val="nil"/>
              <w:bottom w:val="single" w:sz="4" w:space="0" w:color="auto"/>
              <w:right w:val="single" w:sz="4" w:space="0" w:color="auto"/>
            </w:tcBorders>
            <w:shd w:val="clear" w:color="auto" w:fill="auto"/>
            <w:vAlign w:val="center"/>
            <w:hideMark/>
          </w:tcPr>
          <w:p w14:paraId="561249BC" w14:textId="2F159935"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Los programas y acciones relacionados con la preservación del equilibrio ecológico; la adquisición de reservas territoriales en su caso; y la protección al ambiente, en su ámbito de competencia</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16A39149"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78.88</w:t>
            </w:r>
          </w:p>
        </w:tc>
      </w:tr>
      <w:tr w:rsidR="00A82DA1" w:rsidRPr="00B92499" w14:paraId="089D9E32"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2C58599A"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XVI</w:t>
            </w:r>
          </w:p>
        </w:tc>
        <w:tc>
          <w:tcPr>
            <w:tcW w:w="6436" w:type="dxa"/>
            <w:tcBorders>
              <w:top w:val="nil"/>
              <w:left w:val="nil"/>
              <w:bottom w:val="single" w:sz="4" w:space="0" w:color="auto"/>
              <w:right w:val="single" w:sz="4" w:space="0" w:color="auto"/>
            </w:tcBorders>
            <w:shd w:val="clear" w:color="auto" w:fill="auto"/>
            <w:noWrap/>
            <w:vAlign w:val="center"/>
            <w:hideMark/>
          </w:tcPr>
          <w:p w14:paraId="5472452E" w14:textId="6AA34365"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El Programa de Seguridad Pública de la demarcación</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3ED4E68E"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70.96</w:t>
            </w:r>
          </w:p>
        </w:tc>
      </w:tr>
      <w:tr w:rsidR="00A82DA1" w:rsidRPr="00B92499" w14:paraId="0243E2F9" w14:textId="77777777" w:rsidTr="00EB5F64">
        <w:trPr>
          <w:trHeight w:val="20"/>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14:paraId="21CA9804"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XXIV</w:t>
            </w:r>
          </w:p>
        </w:tc>
        <w:tc>
          <w:tcPr>
            <w:tcW w:w="6436" w:type="dxa"/>
            <w:tcBorders>
              <w:top w:val="nil"/>
              <w:left w:val="nil"/>
              <w:bottom w:val="single" w:sz="4" w:space="0" w:color="auto"/>
              <w:right w:val="single" w:sz="4" w:space="0" w:color="auto"/>
            </w:tcBorders>
            <w:shd w:val="clear" w:color="auto" w:fill="auto"/>
            <w:noWrap/>
            <w:vAlign w:val="center"/>
            <w:hideMark/>
          </w:tcPr>
          <w:p w14:paraId="74369F9A" w14:textId="145D5BED" w:rsidR="00A82DA1" w:rsidRPr="00B92499" w:rsidRDefault="00A82DA1" w:rsidP="00B671B7">
            <w:pPr>
              <w:jc w:val="both"/>
              <w:rPr>
                <w:rFonts w:ascii="Arial" w:hAnsi="Arial" w:cs="Arial"/>
                <w:color w:val="000000"/>
                <w:sz w:val="20"/>
                <w:szCs w:val="20"/>
              </w:rPr>
            </w:pPr>
            <w:r w:rsidRPr="00B92499">
              <w:rPr>
                <w:rFonts w:ascii="Arial" w:hAnsi="Arial" w:cs="Arial"/>
                <w:color w:val="000000"/>
                <w:sz w:val="20"/>
                <w:szCs w:val="20"/>
              </w:rPr>
              <w:t>El informe de labores presentado ante el Consejo Ciudadano Delegacional</w:t>
            </w:r>
            <w:r w:rsidR="00490622" w:rsidRPr="00B92499">
              <w:rPr>
                <w:rFonts w:ascii="Arial" w:hAnsi="Arial" w:cs="Arial"/>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14:paraId="6E95C217" w14:textId="77777777" w:rsidR="00A82DA1" w:rsidRPr="00B92499" w:rsidRDefault="00A82DA1" w:rsidP="00A82DA1">
            <w:pPr>
              <w:jc w:val="center"/>
              <w:rPr>
                <w:rFonts w:ascii="Arial" w:hAnsi="Arial" w:cs="Arial"/>
                <w:color w:val="000000"/>
                <w:sz w:val="20"/>
                <w:szCs w:val="20"/>
              </w:rPr>
            </w:pPr>
            <w:r w:rsidRPr="00B92499">
              <w:rPr>
                <w:rFonts w:ascii="Arial" w:hAnsi="Arial" w:cs="Arial"/>
                <w:color w:val="000000"/>
                <w:sz w:val="20"/>
                <w:szCs w:val="20"/>
              </w:rPr>
              <w:t>70.41</w:t>
            </w:r>
          </w:p>
        </w:tc>
      </w:tr>
    </w:tbl>
    <w:p w14:paraId="01670C41" w14:textId="77777777" w:rsidR="00D2376D" w:rsidRPr="00B92499" w:rsidRDefault="00D2376D" w:rsidP="00EB5F64">
      <w:pPr>
        <w:spacing w:before="100" w:beforeAutospacing="1" w:after="100" w:afterAutospacing="1" w:line="360" w:lineRule="auto"/>
        <w:jc w:val="both"/>
        <w:rPr>
          <w:rFonts w:ascii="Arial" w:hAnsi="Arial" w:cs="Arial"/>
        </w:rPr>
      </w:pPr>
    </w:p>
    <w:p w14:paraId="694DCA04" w14:textId="3259D3FD" w:rsidR="00D2376D" w:rsidRPr="00B92499" w:rsidRDefault="00940CBA" w:rsidP="009F64B5">
      <w:pPr>
        <w:pStyle w:val="Ttulo3"/>
        <w:numPr>
          <w:ilvl w:val="2"/>
          <w:numId w:val="11"/>
        </w:numPr>
        <w:contextualSpacing/>
        <w:jc w:val="both"/>
        <w:rPr>
          <w:rFonts w:ascii="Arial" w:hAnsi="Arial" w:cs="Arial"/>
          <w:b/>
          <w:color w:val="auto"/>
        </w:rPr>
      </w:pPr>
      <w:bookmarkStart w:id="35" w:name="_Toc23252991"/>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143</w:t>
      </w:r>
      <w:bookmarkEnd w:id="35"/>
    </w:p>
    <w:p w14:paraId="684BF953" w14:textId="3EAD106C" w:rsidR="00AF69F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de este </w:t>
      </w:r>
      <w:r w:rsidR="00A64325" w:rsidRPr="00B92499">
        <w:rPr>
          <w:rFonts w:ascii="Arial" w:hAnsi="Arial" w:cs="Arial"/>
        </w:rPr>
        <w:t xml:space="preserve">ámbito </w:t>
      </w:r>
      <w:r w:rsidRPr="00B92499">
        <w:rPr>
          <w:rFonts w:ascii="Arial" w:hAnsi="Arial" w:cs="Arial"/>
        </w:rPr>
        <w:t>alcanzaron</w:t>
      </w:r>
      <w:r w:rsidR="003A57A0" w:rsidRPr="00B92499">
        <w:rPr>
          <w:rFonts w:ascii="Arial" w:hAnsi="Arial" w:cs="Arial"/>
        </w:rPr>
        <w:t xml:space="preserve"> un</w:t>
      </w:r>
      <w:r w:rsidRPr="00B92499">
        <w:rPr>
          <w:rFonts w:ascii="Arial" w:hAnsi="Arial" w:cs="Arial"/>
        </w:rPr>
        <w:t xml:space="preserve"> ICP de </w:t>
      </w:r>
      <w:r w:rsidR="00A82DA1" w:rsidRPr="00B92499">
        <w:rPr>
          <w:rFonts w:ascii="Arial" w:hAnsi="Arial" w:cs="Arial"/>
        </w:rPr>
        <w:t>94.06</w:t>
      </w:r>
      <w:r w:rsidRPr="00B92499">
        <w:rPr>
          <w:rFonts w:ascii="Arial" w:hAnsi="Arial" w:cs="Arial"/>
        </w:rPr>
        <w:t>%; por lo que se encuentra</w:t>
      </w:r>
      <w:r w:rsidR="005A7A81" w:rsidRPr="00B92499">
        <w:rPr>
          <w:rFonts w:ascii="Arial" w:hAnsi="Arial" w:cs="Arial"/>
        </w:rPr>
        <w:t>n</w:t>
      </w:r>
      <w:r w:rsidRPr="00B92499">
        <w:rPr>
          <w:rFonts w:ascii="Arial" w:hAnsi="Arial" w:cs="Arial"/>
        </w:rPr>
        <w:t xml:space="preserve"> dentro del área de cumplimiento parcial. El área de oportunidad que tienen los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respecto de este </w:t>
      </w:r>
      <w:r w:rsidR="008F67E4" w:rsidRPr="00B92499">
        <w:rPr>
          <w:rFonts w:ascii="Arial" w:hAnsi="Arial" w:cs="Arial"/>
        </w:rPr>
        <w:t>artículo</w:t>
      </w:r>
      <w:r w:rsidRPr="00B92499">
        <w:rPr>
          <w:rFonts w:ascii="Arial" w:hAnsi="Arial" w:cs="Arial"/>
        </w:rPr>
        <w:t xml:space="preserve"> es actualizar la información conforme </w:t>
      </w:r>
      <w:r w:rsidR="00D2376D" w:rsidRPr="00B92499">
        <w:rPr>
          <w:rFonts w:ascii="Arial" w:hAnsi="Arial" w:cs="Arial"/>
        </w:rPr>
        <w:t>indica la normatividad vigente.</w:t>
      </w:r>
    </w:p>
    <w:p w14:paraId="45A8D83E" w14:textId="48EBDB2D" w:rsidR="00D2376D" w:rsidRPr="00B92499" w:rsidRDefault="00940CBA" w:rsidP="009F64B5">
      <w:pPr>
        <w:pStyle w:val="Ttulo3"/>
        <w:numPr>
          <w:ilvl w:val="2"/>
          <w:numId w:val="11"/>
        </w:numPr>
        <w:contextualSpacing/>
        <w:jc w:val="both"/>
        <w:rPr>
          <w:rFonts w:ascii="Arial" w:hAnsi="Arial" w:cs="Arial"/>
          <w:b/>
          <w:color w:val="auto"/>
        </w:rPr>
      </w:pPr>
      <w:bookmarkStart w:id="36" w:name="_Toc23252992"/>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145</w:t>
      </w:r>
      <w:bookmarkEnd w:id="36"/>
    </w:p>
    <w:p w14:paraId="797C9C5C" w14:textId="3516A0AC"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Las </w:t>
      </w:r>
      <w:r w:rsidR="00A82DA1" w:rsidRPr="00B92499">
        <w:rPr>
          <w:rFonts w:ascii="Arial" w:hAnsi="Arial" w:cs="Arial"/>
        </w:rPr>
        <w:t xml:space="preserve">Alcaldías </w:t>
      </w:r>
      <w:r w:rsidRPr="00B92499">
        <w:rPr>
          <w:rFonts w:ascii="Arial" w:hAnsi="Arial" w:cs="Arial"/>
        </w:rPr>
        <w:t>obtuvieron un ICP de 9</w:t>
      </w:r>
      <w:r w:rsidR="00A82DA1" w:rsidRPr="00B92499">
        <w:rPr>
          <w:rFonts w:ascii="Arial" w:hAnsi="Arial" w:cs="Arial"/>
        </w:rPr>
        <w:t>9.61</w:t>
      </w:r>
      <w:r w:rsidRPr="00B92499">
        <w:rPr>
          <w:rFonts w:ascii="Arial" w:hAnsi="Arial" w:cs="Arial"/>
        </w:rPr>
        <w:t>%; lo anterior ya que 1</w:t>
      </w:r>
      <w:r w:rsidR="00A82DA1" w:rsidRPr="00B92499">
        <w:rPr>
          <w:rFonts w:ascii="Arial" w:hAnsi="Arial" w:cs="Arial"/>
        </w:rPr>
        <w:t>5</w:t>
      </w:r>
      <w:r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cumplieron cabalmente con una señalización fácilmente identificable y accesible que permite a la ciudadanía ingresar al sitio de transparencia. Sin embargo, </w:t>
      </w:r>
      <w:r w:rsidR="00A82DA1" w:rsidRPr="00B92499">
        <w:rPr>
          <w:rFonts w:ascii="Arial" w:hAnsi="Arial" w:cs="Arial"/>
        </w:rPr>
        <w:t>la Alcaldía</w:t>
      </w:r>
      <w:r w:rsidRPr="00B92499">
        <w:rPr>
          <w:rFonts w:ascii="Arial" w:hAnsi="Arial" w:cs="Arial"/>
        </w:rPr>
        <w:t xml:space="preserve"> Xochimilco tuv</w:t>
      </w:r>
      <w:r w:rsidR="00A82DA1" w:rsidRPr="00B92499">
        <w:rPr>
          <w:rFonts w:ascii="Arial" w:hAnsi="Arial" w:cs="Arial"/>
        </w:rPr>
        <w:t xml:space="preserve">o </w:t>
      </w:r>
      <w:r w:rsidRPr="00B92499">
        <w:rPr>
          <w:rFonts w:ascii="Arial" w:hAnsi="Arial" w:cs="Arial"/>
        </w:rPr>
        <w:t>problemas con el acceso a la página de inicio del portal de interne</w:t>
      </w:r>
      <w:r w:rsidR="00A82DA1" w:rsidRPr="00B92499">
        <w:rPr>
          <w:rFonts w:ascii="Arial" w:hAnsi="Arial" w:cs="Arial"/>
        </w:rPr>
        <w:t>t.</w:t>
      </w:r>
    </w:p>
    <w:p w14:paraId="3C876D75" w14:textId="1B44282A" w:rsidR="00D2376D" w:rsidRPr="00B92499" w:rsidRDefault="00940CBA" w:rsidP="009F64B5">
      <w:pPr>
        <w:pStyle w:val="Ttulo3"/>
        <w:numPr>
          <w:ilvl w:val="2"/>
          <w:numId w:val="11"/>
        </w:numPr>
        <w:contextualSpacing/>
        <w:jc w:val="both"/>
        <w:rPr>
          <w:rFonts w:ascii="Arial" w:hAnsi="Arial" w:cs="Arial"/>
          <w:b/>
          <w:color w:val="auto"/>
        </w:rPr>
      </w:pPr>
      <w:bookmarkStart w:id="37" w:name="_Toc23252993"/>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146</w:t>
      </w:r>
      <w:bookmarkEnd w:id="37"/>
    </w:p>
    <w:p w14:paraId="327EFB0B" w14:textId="2E13C60B" w:rsidR="00940CBA" w:rsidRPr="00B92499" w:rsidRDefault="00940CBA"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Este </w:t>
      </w:r>
      <w:r w:rsidR="00A64325" w:rsidRPr="00B92499">
        <w:rPr>
          <w:rFonts w:ascii="Arial" w:hAnsi="Arial" w:cs="Arial"/>
        </w:rPr>
        <w:t xml:space="preserve">ámbito </w:t>
      </w:r>
      <w:r w:rsidRPr="00B92499">
        <w:rPr>
          <w:rFonts w:ascii="Arial" w:hAnsi="Arial" w:cs="Arial"/>
        </w:rPr>
        <w:t xml:space="preserve">obtuvo un ICP de </w:t>
      </w:r>
      <w:r w:rsidR="00A82DA1" w:rsidRPr="00B92499">
        <w:rPr>
          <w:rFonts w:ascii="Arial" w:hAnsi="Arial" w:cs="Arial"/>
        </w:rPr>
        <w:t>92.50</w:t>
      </w:r>
      <w:r w:rsidRPr="00B92499">
        <w:rPr>
          <w:rFonts w:ascii="Arial" w:hAnsi="Arial" w:cs="Arial"/>
        </w:rPr>
        <w:t xml:space="preserve">%; </w:t>
      </w:r>
      <w:r w:rsidR="00A82DA1" w:rsidRPr="00B92499">
        <w:rPr>
          <w:rFonts w:ascii="Arial" w:hAnsi="Arial" w:cs="Arial"/>
        </w:rPr>
        <w:t>debido a que 13 Alcaldías cumplier</w:t>
      </w:r>
      <w:r w:rsidR="005F4EE8" w:rsidRPr="00B92499">
        <w:rPr>
          <w:rFonts w:ascii="Arial" w:hAnsi="Arial" w:cs="Arial"/>
        </w:rPr>
        <w:t>o</w:t>
      </w:r>
      <w:r w:rsidR="00A82DA1" w:rsidRPr="00B92499">
        <w:rPr>
          <w:rFonts w:ascii="Arial" w:hAnsi="Arial" w:cs="Arial"/>
        </w:rPr>
        <w:t>n con la publicación del calendario de artículos</w:t>
      </w:r>
      <w:r w:rsidR="005F4EE8" w:rsidRPr="00B92499">
        <w:rPr>
          <w:rFonts w:ascii="Arial" w:hAnsi="Arial" w:cs="Arial"/>
        </w:rPr>
        <w:t xml:space="preserve"> </w:t>
      </w:r>
      <w:r w:rsidR="00A82DA1" w:rsidRPr="00B92499">
        <w:rPr>
          <w:rFonts w:ascii="Arial" w:hAnsi="Arial" w:cs="Arial"/>
        </w:rPr>
        <w:t xml:space="preserve">y fracciones que les son aplicables al </w:t>
      </w:r>
      <w:r w:rsidR="008710F6" w:rsidRPr="00B92499">
        <w:rPr>
          <w:rFonts w:ascii="Arial" w:hAnsi="Arial" w:cs="Arial"/>
        </w:rPr>
        <w:t>sujeto obligado</w:t>
      </w:r>
      <w:r w:rsidR="00A82DA1" w:rsidRPr="00B92499">
        <w:rPr>
          <w:rFonts w:ascii="Arial" w:hAnsi="Arial" w:cs="Arial"/>
        </w:rPr>
        <w:t xml:space="preserve"> y el periodo de actualización de cada uno. Las Alcaldías </w:t>
      </w:r>
      <w:r w:rsidR="005F4EE8" w:rsidRPr="00B92499">
        <w:rPr>
          <w:rFonts w:ascii="Arial" w:hAnsi="Arial" w:cs="Arial"/>
        </w:rPr>
        <w:t>Azcapotzalco</w:t>
      </w:r>
      <w:r w:rsidR="00A82DA1" w:rsidRPr="00B92499">
        <w:rPr>
          <w:rFonts w:ascii="Arial" w:hAnsi="Arial" w:cs="Arial"/>
        </w:rPr>
        <w:t xml:space="preserve"> y Xochimilco </w:t>
      </w:r>
      <w:r w:rsidR="005F4EE8" w:rsidRPr="00B92499">
        <w:rPr>
          <w:rFonts w:ascii="Arial" w:hAnsi="Arial" w:cs="Arial"/>
        </w:rPr>
        <w:t>tuvieron</w:t>
      </w:r>
      <w:r w:rsidR="00A82DA1" w:rsidRPr="00B92499">
        <w:rPr>
          <w:rFonts w:ascii="Arial" w:hAnsi="Arial" w:cs="Arial"/>
        </w:rPr>
        <w:t xml:space="preserve"> observaciones de coherencia y congruencia respecto de la información y publica</w:t>
      </w:r>
      <w:r w:rsidR="00490622" w:rsidRPr="00B92499">
        <w:rPr>
          <w:rFonts w:ascii="Arial" w:hAnsi="Arial" w:cs="Arial"/>
        </w:rPr>
        <w:t>ción</w:t>
      </w:r>
      <w:r w:rsidR="00A82DA1" w:rsidRPr="00B92499">
        <w:rPr>
          <w:rFonts w:ascii="Arial" w:hAnsi="Arial" w:cs="Arial"/>
        </w:rPr>
        <w:t xml:space="preserve"> y la Alcaldía Álvaro Obregón no publicó su calendario. </w:t>
      </w:r>
    </w:p>
    <w:p w14:paraId="4C71B128" w14:textId="20C58C6E" w:rsidR="00D2376D" w:rsidRPr="00B92499" w:rsidRDefault="00940CBA" w:rsidP="009F64B5">
      <w:pPr>
        <w:pStyle w:val="Ttulo3"/>
        <w:numPr>
          <w:ilvl w:val="2"/>
          <w:numId w:val="11"/>
        </w:numPr>
        <w:contextualSpacing/>
        <w:jc w:val="both"/>
        <w:rPr>
          <w:rFonts w:ascii="Arial" w:hAnsi="Arial" w:cs="Arial"/>
          <w:b/>
          <w:color w:val="auto"/>
        </w:rPr>
      </w:pPr>
      <w:bookmarkStart w:id="38" w:name="_Toc23252994"/>
      <w:r w:rsidRPr="00B92499">
        <w:rPr>
          <w:rFonts w:ascii="Arial" w:hAnsi="Arial" w:cs="Arial"/>
          <w:b/>
          <w:color w:val="auto"/>
        </w:rPr>
        <w:t xml:space="preserve">Análisis del </w:t>
      </w:r>
      <w:r w:rsidR="008F67E4" w:rsidRPr="00B92499">
        <w:rPr>
          <w:rFonts w:ascii="Arial" w:hAnsi="Arial" w:cs="Arial"/>
          <w:b/>
          <w:color w:val="auto"/>
        </w:rPr>
        <w:t>artículo</w:t>
      </w:r>
      <w:r w:rsidRPr="00B92499">
        <w:rPr>
          <w:rFonts w:ascii="Arial" w:hAnsi="Arial" w:cs="Arial"/>
          <w:b/>
          <w:color w:val="auto"/>
        </w:rPr>
        <w:t xml:space="preserve"> 147</w:t>
      </w:r>
      <w:bookmarkEnd w:id="38"/>
      <w:r w:rsidRPr="00B92499">
        <w:rPr>
          <w:rFonts w:ascii="Arial" w:hAnsi="Arial" w:cs="Arial"/>
          <w:b/>
          <w:color w:val="auto"/>
        </w:rPr>
        <w:t xml:space="preserve"> </w:t>
      </w:r>
    </w:p>
    <w:p w14:paraId="40A63568" w14:textId="6C2D81C6" w:rsidR="00AF69FA" w:rsidRPr="00B92499" w:rsidRDefault="00940CBA" w:rsidP="002E7D47">
      <w:pPr>
        <w:spacing w:before="100" w:beforeAutospacing="1" w:after="100" w:afterAutospacing="1" w:line="360" w:lineRule="auto"/>
        <w:contextualSpacing/>
        <w:jc w:val="both"/>
        <w:rPr>
          <w:rFonts w:ascii="Arial" w:eastAsiaTheme="majorEastAsia" w:hAnsi="Arial" w:cs="Arial"/>
          <w:b/>
        </w:rPr>
      </w:pPr>
      <w:r w:rsidRPr="00B92499">
        <w:rPr>
          <w:rFonts w:ascii="Arial" w:hAnsi="Arial" w:cs="Arial"/>
        </w:rPr>
        <w:t xml:space="preserve">Por último, las delegaciones obtuvieron un ICP de </w:t>
      </w:r>
      <w:r w:rsidR="00A82DA1" w:rsidRPr="00B92499">
        <w:rPr>
          <w:rFonts w:ascii="Arial" w:hAnsi="Arial" w:cs="Arial"/>
        </w:rPr>
        <w:t>77.79</w:t>
      </w:r>
      <w:r w:rsidRPr="00B92499">
        <w:rPr>
          <w:rFonts w:ascii="Arial" w:hAnsi="Arial" w:cs="Arial"/>
        </w:rPr>
        <w:t xml:space="preserve">%; debido a que </w:t>
      </w:r>
      <w:r w:rsidR="000D67A7" w:rsidRPr="00B92499">
        <w:rPr>
          <w:rFonts w:ascii="Arial" w:hAnsi="Arial" w:cs="Arial"/>
        </w:rPr>
        <w:t xml:space="preserve"> 8 </w:t>
      </w:r>
      <w:r w:rsidRPr="00B92499">
        <w:rPr>
          <w:rFonts w:ascii="Arial" w:hAnsi="Arial" w:cs="Arial"/>
        </w:rPr>
        <w:t xml:space="preserve"> </w:t>
      </w:r>
      <w:r w:rsidR="008710F6" w:rsidRPr="00B92499">
        <w:rPr>
          <w:rFonts w:ascii="Arial" w:hAnsi="Arial" w:cs="Arial"/>
        </w:rPr>
        <w:t>sujeto</w:t>
      </w:r>
      <w:r w:rsidR="00EB5F64" w:rsidRPr="00B92499">
        <w:rPr>
          <w:rFonts w:ascii="Arial" w:hAnsi="Arial" w:cs="Arial"/>
        </w:rPr>
        <w:t xml:space="preserve">s </w:t>
      </w:r>
      <w:r w:rsidR="008710F6" w:rsidRPr="00B92499">
        <w:rPr>
          <w:rFonts w:ascii="Arial" w:hAnsi="Arial" w:cs="Arial"/>
        </w:rPr>
        <w:t>obligado</w:t>
      </w:r>
      <w:r w:rsidR="00EB5F64" w:rsidRPr="00B92499">
        <w:rPr>
          <w:rFonts w:ascii="Arial" w:hAnsi="Arial" w:cs="Arial"/>
        </w:rPr>
        <w:t>s</w:t>
      </w:r>
      <w:r w:rsidRPr="00B92499">
        <w:rPr>
          <w:rFonts w:ascii="Arial" w:hAnsi="Arial" w:cs="Arial"/>
        </w:rPr>
        <w:t xml:space="preserve"> tuvieron un cumplimiento total,</w:t>
      </w:r>
      <w:r w:rsidR="000D67A7" w:rsidRPr="00B92499">
        <w:rPr>
          <w:rFonts w:ascii="Arial" w:hAnsi="Arial" w:cs="Arial"/>
        </w:rPr>
        <w:t xml:space="preserve"> 4 </w:t>
      </w:r>
      <w:r w:rsidR="00A82DA1" w:rsidRPr="00B92499">
        <w:rPr>
          <w:rFonts w:ascii="Arial" w:hAnsi="Arial" w:cs="Arial"/>
        </w:rPr>
        <w:t xml:space="preserve">un </w:t>
      </w:r>
      <w:r w:rsidRPr="00B92499">
        <w:rPr>
          <w:rFonts w:ascii="Arial" w:hAnsi="Arial" w:cs="Arial"/>
        </w:rPr>
        <w:t>cumplimien</w:t>
      </w:r>
      <w:r w:rsidR="00A82DA1" w:rsidRPr="00B92499">
        <w:rPr>
          <w:rFonts w:ascii="Arial" w:hAnsi="Arial" w:cs="Arial"/>
        </w:rPr>
        <w:t xml:space="preserve">to </w:t>
      </w:r>
      <w:r w:rsidRPr="00B92499">
        <w:rPr>
          <w:rFonts w:ascii="Arial" w:hAnsi="Arial" w:cs="Arial"/>
        </w:rPr>
        <w:t>parcial y</w:t>
      </w:r>
      <w:r w:rsidR="000D67A7" w:rsidRPr="00B92499">
        <w:rPr>
          <w:rFonts w:ascii="Arial" w:hAnsi="Arial" w:cs="Arial"/>
        </w:rPr>
        <w:t xml:space="preserve"> 3 </w:t>
      </w:r>
      <w:r w:rsidR="004C7C14" w:rsidRPr="00B92499">
        <w:rPr>
          <w:rFonts w:ascii="Arial" w:hAnsi="Arial" w:cs="Arial"/>
        </w:rPr>
        <w:t xml:space="preserve">un </w:t>
      </w:r>
      <w:r w:rsidRPr="00B92499">
        <w:rPr>
          <w:rFonts w:ascii="Arial" w:hAnsi="Arial" w:cs="Arial"/>
        </w:rPr>
        <w:t xml:space="preserve">incumplimiento parcial y la </w:t>
      </w:r>
      <w:r w:rsidR="00D2376D" w:rsidRPr="00B92499">
        <w:rPr>
          <w:rFonts w:ascii="Arial" w:hAnsi="Arial" w:cs="Arial"/>
        </w:rPr>
        <w:t>Demarcación Política</w:t>
      </w:r>
      <w:r w:rsidRPr="00B92499">
        <w:rPr>
          <w:rFonts w:ascii="Arial" w:hAnsi="Arial" w:cs="Arial"/>
        </w:rPr>
        <w:t xml:space="preserve"> </w:t>
      </w:r>
      <w:r w:rsidR="00A82DA1" w:rsidRPr="00B92499">
        <w:rPr>
          <w:rFonts w:ascii="Arial" w:hAnsi="Arial" w:cs="Arial"/>
        </w:rPr>
        <w:t>Benito Juárez</w:t>
      </w:r>
      <w:r w:rsidRPr="00B92499">
        <w:rPr>
          <w:rFonts w:ascii="Arial" w:hAnsi="Arial" w:cs="Arial"/>
        </w:rPr>
        <w:t xml:space="preserve"> incumplió totalmente. Los </w:t>
      </w:r>
      <w:r w:rsidR="008710F6" w:rsidRPr="00B92499">
        <w:rPr>
          <w:rFonts w:ascii="Arial" w:hAnsi="Arial" w:cs="Arial"/>
        </w:rPr>
        <w:t>sujeto</w:t>
      </w:r>
      <w:r w:rsidRPr="00B92499">
        <w:rPr>
          <w:rFonts w:ascii="Arial" w:hAnsi="Arial" w:cs="Arial"/>
        </w:rPr>
        <w:t xml:space="preserve">s deberán actualizar la información conforme indica la normatividad vigente, así como verificar el acceso a los hipervínculos. Por otra parte, se recomienda revisar esta fracción en la Tabla de Aplicabilidad ya que ésta les aplica a todas; se deberá estudiar el caso y publicar la información solicitada o </w:t>
      </w:r>
      <w:r w:rsidRPr="00B92499">
        <w:rPr>
          <w:rFonts w:ascii="Arial" w:hAnsi="Arial" w:cs="Arial"/>
        </w:rPr>
        <w:lastRenderedPageBreak/>
        <w:t>transcribir la leyenda “no se generó información” con su debida motivación y fundamentación.</w:t>
      </w:r>
      <w:r w:rsidR="00AF69FA" w:rsidRPr="00B92499">
        <w:rPr>
          <w:rFonts w:ascii="Arial" w:hAnsi="Arial" w:cs="Arial"/>
          <w:b/>
        </w:rPr>
        <w:br w:type="page"/>
      </w:r>
    </w:p>
    <w:p w14:paraId="435BA382" w14:textId="77777777" w:rsidR="00797777" w:rsidRPr="00B92499" w:rsidRDefault="00AF69FA" w:rsidP="009F64B5">
      <w:pPr>
        <w:pStyle w:val="Ttulo1"/>
        <w:numPr>
          <w:ilvl w:val="0"/>
          <w:numId w:val="5"/>
        </w:numPr>
        <w:contextualSpacing/>
        <w:rPr>
          <w:rFonts w:ascii="Arial" w:hAnsi="Arial" w:cs="Arial"/>
          <w:b/>
          <w:color w:val="auto"/>
          <w:sz w:val="24"/>
          <w:szCs w:val="24"/>
        </w:rPr>
      </w:pPr>
      <w:bookmarkStart w:id="39" w:name="_Toc23252995"/>
      <w:r w:rsidRPr="00B92499">
        <w:rPr>
          <w:rFonts w:ascii="Arial" w:hAnsi="Arial" w:cs="Arial"/>
          <w:b/>
          <w:color w:val="auto"/>
          <w:sz w:val="24"/>
          <w:szCs w:val="24"/>
        </w:rPr>
        <w:lastRenderedPageBreak/>
        <w:t>PODER LEGISLATIVO</w:t>
      </w:r>
      <w:bookmarkEnd w:id="39"/>
      <w:r w:rsidRPr="00B92499">
        <w:rPr>
          <w:rFonts w:ascii="Arial" w:hAnsi="Arial" w:cs="Arial"/>
          <w:b/>
          <w:color w:val="auto"/>
          <w:sz w:val="24"/>
          <w:szCs w:val="24"/>
        </w:rPr>
        <w:t xml:space="preserve"> </w:t>
      </w:r>
    </w:p>
    <w:p w14:paraId="3C88F571" w14:textId="1E167CCF"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El ámbito del Poder Legislativo está conformado por </w:t>
      </w:r>
      <w:r w:rsidR="000D67A7" w:rsidRPr="00B92499">
        <w:rPr>
          <w:rFonts w:ascii="Arial" w:hAnsi="Arial" w:cs="Arial"/>
        </w:rPr>
        <w:t>2</w:t>
      </w:r>
      <w:r w:rsidRPr="00B92499">
        <w:rPr>
          <w:rFonts w:ascii="Arial" w:hAnsi="Arial" w:cs="Arial"/>
        </w:rPr>
        <w:t xml:space="preserv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conformidad con el Padrón de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supeditados al cumplimiento de la Ley de Transparencia, Acceso a la Información Pública y Rendición de Cuentas de la Ciudad de México</w:t>
      </w:r>
      <w:r w:rsidRPr="00B92499" w:rsidDel="005B5D1B">
        <w:rPr>
          <w:rFonts w:ascii="Arial" w:hAnsi="Arial" w:cs="Arial"/>
        </w:rPr>
        <w:t xml:space="preserve"> </w:t>
      </w:r>
      <w:r w:rsidRPr="00B92499">
        <w:rPr>
          <w:rFonts w:ascii="Arial" w:hAnsi="Arial" w:cs="Arial"/>
        </w:rPr>
        <w:t xml:space="preserve">y de la Ley de Protección de Datos Personales en Posesión de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la Ciudad de México vigente. No obstante, en este apartado únicamente se analizará al Congreso de la Ciudad de México por haber sido incorporado recientemente al Padrón de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vigentes. </w:t>
      </w:r>
    </w:p>
    <w:p w14:paraId="6D3CBEB9"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4E6DB4C5" w14:textId="0086F138"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8710F6" w:rsidRPr="00B92499">
        <w:rPr>
          <w:rFonts w:ascii="Arial" w:hAnsi="Arial" w:cs="Arial"/>
        </w:rPr>
        <w:t>sujeto obligado</w:t>
      </w:r>
      <w:r w:rsidRPr="00B92499">
        <w:rPr>
          <w:rFonts w:ascii="Arial" w:hAnsi="Arial" w:cs="Arial"/>
        </w:rPr>
        <w:t xml:space="preserve">,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(ICOT-PT),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61BCC341" w14:textId="77777777" w:rsidR="00323ABF" w:rsidRPr="00B92499" w:rsidRDefault="00323ABF" w:rsidP="00323ABF">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323ABF" w:rsidRPr="00B92499" w14:paraId="6558EDBF" w14:textId="77777777" w:rsidTr="00EE3F6D">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219B7EB7"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323ABF" w:rsidRPr="00B92499" w14:paraId="24638BED" w14:textId="77777777" w:rsidTr="00EE3F6D">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1FA5AC3A"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31CCFFDE" w14:textId="110D88DC"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2080B67A"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%Inf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04E51D19"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 Nota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499F317"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010F9D3D"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F0FE581"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2FE4767C"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AA23236"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B6D202D"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4784107" w14:textId="77777777" w:rsidR="00323ABF" w:rsidRPr="00B92499" w:rsidRDefault="00323ABF" w:rsidP="00EE3F6D">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323ABF" w:rsidRPr="00B92499" w14:paraId="787FD448" w14:textId="77777777" w:rsidTr="00323ABF">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54CD075"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7EE5FF14" w14:textId="77777777" w:rsidR="00323ABF" w:rsidRPr="00B92499" w:rsidRDefault="00323ABF" w:rsidP="00323ABF">
            <w:pPr>
              <w:jc w:val="both"/>
              <w:rPr>
                <w:rFonts w:ascii="Arial" w:hAnsi="Arial" w:cs="Arial"/>
                <w:color w:val="000000"/>
                <w:sz w:val="16"/>
                <w:szCs w:val="16"/>
              </w:rPr>
            </w:pPr>
            <w:r w:rsidRPr="00B92499">
              <w:rPr>
                <w:rFonts w:ascii="Arial" w:hAnsi="Arial" w:cs="Arial"/>
                <w:color w:val="000000"/>
                <w:sz w:val="16"/>
                <w:szCs w:val="16"/>
              </w:rPr>
              <w:t>Congreso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587795A7"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93.00</w:t>
            </w:r>
          </w:p>
        </w:tc>
        <w:tc>
          <w:tcPr>
            <w:tcW w:w="850" w:type="dxa"/>
            <w:tcBorders>
              <w:top w:val="nil"/>
              <w:left w:val="nil"/>
              <w:bottom w:val="single" w:sz="4" w:space="0" w:color="auto"/>
              <w:right w:val="single" w:sz="4" w:space="0" w:color="auto"/>
            </w:tcBorders>
            <w:shd w:val="clear" w:color="000000" w:fill="D9D9D9"/>
            <w:noWrap/>
            <w:vAlign w:val="center"/>
            <w:hideMark/>
          </w:tcPr>
          <w:p w14:paraId="7EB51D60"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1.65</w:t>
            </w:r>
          </w:p>
        </w:tc>
        <w:tc>
          <w:tcPr>
            <w:tcW w:w="850" w:type="dxa"/>
            <w:tcBorders>
              <w:top w:val="nil"/>
              <w:left w:val="nil"/>
              <w:bottom w:val="single" w:sz="4" w:space="0" w:color="auto"/>
              <w:right w:val="single" w:sz="4" w:space="0" w:color="auto"/>
            </w:tcBorders>
            <w:shd w:val="clear" w:color="auto" w:fill="auto"/>
            <w:noWrap/>
            <w:vAlign w:val="center"/>
            <w:hideMark/>
          </w:tcPr>
          <w:p w14:paraId="0534F9CB"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94.65</w:t>
            </w:r>
          </w:p>
        </w:tc>
        <w:tc>
          <w:tcPr>
            <w:tcW w:w="850" w:type="dxa"/>
            <w:tcBorders>
              <w:top w:val="nil"/>
              <w:left w:val="nil"/>
              <w:bottom w:val="single" w:sz="4" w:space="0" w:color="auto"/>
              <w:right w:val="single" w:sz="4" w:space="0" w:color="auto"/>
            </w:tcBorders>
            <w:shd w:val="clear" w:color="000000" w:fill="BDD7EE"/>
            <w:noWrap/>
            <w:vAlign w:val="center"/>
            <w:hideMark/>
          </w:tcPr>
          <w:p w14:paraId="5C5F956B"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93.85</w:t>
            </w:r>
          </w:p>
        </w:tc>
        <w:tc>
          <w:tcPr>
            <w:tcW w:w="850" w:type="dxa"/>
            <w:tcBorders>
              <w:top w:val="nil"/>
              <w:left w:val="nil"/>
              <w:bottom w:val="single" w:sz="4" w:space="0" w:color="auto"/>
              <w:right w:val="single" w:sz="4" w:space="0" w:color="auto"/>
            </w:tcBorders>
            <w:shd w:val="clear" w:color="000000" w:fill="D9D9D9"/>
            <w:noWrap/>
            <w:vAlign w:val="center"/>
            <w:hideMark/>
          </w:tcPr>
          <w:p w14:paraId="59F41E4F"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1.56</w:t>
            </w:r>
          </w:p>
        </w:tc>
        <w:tc>
          <w:tcPr>
            <w:tcW w:w="850" w:type="dxa"/>
            <w:tcBorders>
              <w:top w:val="nil"/>
              <w:left w:val="nil"/>
              <w:bottom w:val="single" w:sz="4" w:space="0" w:color="auto"/>
              <w:right w:val="single" w:sz="4" w:space="0" w:color="auto"/>
            </w:tcBorders>
            <w:shd w:val="clear" w:color="auto" w:fill="auto"/>
            <w:noWrap/>
            <w:vAlign w:val="center"/>
            <w:hideMark/>
          </w:tcPr>
          <w:p w14:paraId="053BA0E2"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95.41</w:t>
            </w:r>
          </w:p>
        </w:tc>
        <w:tc>
          <w:tcPr>
            <w:tcW w:w="850" w:type="dxa"/>
            <w:tcBorders>
              <w:top w:val="nil"/>
              <w:left w:val="nil"/>
              <w:bottom w:val="single" w:sz="4" w:space="0" w:color="auto"/>
              <w:right w:val="single" w:sz="4" w:space="0" w:color="auto"/>
            </w:tcBorders>
            <w:shd w:val="clear" w:color="000000" w:fill="BDD7EE"/>
            <w:noWrap/>
            <w:vAlign w:val="center"/>
            <w:hideMark/>
          </w:tcPr>
          <w:p w14:paraId="5B97ABF5"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93.42</w:t>
            </w:r>
          </w:p>
        </w:tc>
        <w:tc>
          <w:tcPr>
            <w:tcW w:w="850" w:type="dxa"/>
            <w:tcBorders>
              <w:top w:val="nil"/>
              <w:left w:val="nil"/>
              <w:bottom w:val="single" w:sz="4" w:space="0" w:color="auto"/>
              <w:right w:val="single" w:sz="4" w:space="0" w:color="auto"/>
            </w:tcBorders>
            <w:shd w:val="clear" w:color="000000" w:fill="D9D9D9"/>
            <w:noWrap/>
            <w:vAlign w:val="center"/>
            <w:hideMark/>
          </w:tcPr>
          <w:p w14:paraId="64ACB623"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1.61</w:t>
            </w:r>
          </w:p>
        </w:tc>
        <w:tc>
          <w:tcPr>
            <w:tcW w:w="850" w:type="dxa"/>
            <w:tcBorders>
              <w:top w:val="nil"/>
              <w:left w:val="nil"/>
              <w:bottom w:val="single" w:sz="4" w:space="0" w:color="auto"/>
              <w:right w:val="single" w:sz="4" w:space="0" w:color="auto"/>
            </w:tcBorders>
            <w:shd w:val="clear" w:color="auto" w:fill="auto"/>
            <w:noWrap/>
            <w:vAlign w:val="center"/>
            <w:hideMark/>
          </w:tcPr>
          <w:p w14:paraId="50D43847" w14:textId="77777777" w:rsidR="00323ABF" w:rsidRPr="00B92499" w:rsidRDefault="00323ABF">
            <w:pPr>
              <w:jc w:val="center"/>
              <w:rPr>
                <w:rFonts w:ascii="Arial" w:hAnsi="Arial" w:cs="Arial"/>
                <w:color w:val="000000"/>
                <w:sz w:val="16"/>
                <w:szCs w:val="16"/>
              </w:rPr>
            </w:pPr>
            <w:r w:rsidRPr="00B92499">
              <w:rPr>
                <w:rFonts w:ascii="Arial" w:hAnsi="Arial" w:cs="Arial"/>
                <w:color w:val="000000"/>
                <w:sz w:val="16"/>
                <w:szCs w:val="16"/>
              </w:rPr>
              <w:t>95.03</w:t>
            </w:r>
          </w:p>
        </w:tc>
      </w:tr>
    </w:tbl>
    <w:p w14:paraId="7F968486" w14:textId="7EF24A9B" w:rsidR="00323ABF" w:rsidRPr="00B92499" w:rsidRDefault="00323ABF" w:rsidP="00323ABF">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4C670AD4" w14:textId="77777777" w:rsidR="00323ABF" w:rsidRPr="00B92499" w:rsidRDefault="00323ABF" w:rsidP="00323ABF">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2817547D" w14:textId="1B288136"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al porcentaje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22110159" w14:textId="04008D68"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16D872E" w14:textId="6841DE0F"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al porcentaje 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61E7AD00" w14:textId="4E14F277"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FE4C92C" w14:textId="57258F62"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PNT: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570658B3" w14:textId="6182185C" w:rsidR="00323ABF" w:rsidRPr="00B92499" w:rsidRDefault="00323ABF" w:rsidP="00323ABF">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2985C251"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0B7C5780" w14:textId="55A92224"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lastRenderedPageBreak/>
        <w:t xml:space="preserve">En atención a la Tabla de Aplicabilidad realizada por la DEAEE del Instituto, las obligaciones que los sindicatos deben actualizar y publicar en el SIPOT de la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3C357436" w14:textId="0852D6AB" w:rsidR="00323ABF" w:rsidRPr="00B92499" w:rsidRDefault="00323ABF" w:rsidP="009F64B5">
      <w:pPr>
        <w:pStyle w:val="Prrafodelista"/>
        <w:numPr>
          <w:ilvl w:val="0"/>
          <w:numId w:val="1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121. Obligaciones comunes,</w:t>
      </w:r>
    </w:p>
    <w:p w14:paraId="69B8039F" w14:textId="6D0210C5" w:rsidR="00323ABF" w:rsidRPr="00B92499" w:rsidRDefault="00323ABF" w:rsidP="009F64B5">
      <w:pPr>
        <w:pStyle w:val="Prrafodelista"/>
        <w:numPr>
          <w:ilvl w:val="0"/>
          <w:numId w:val="1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125. Obligaciones específicas del Poder Legislativo,</w:t>
      </w:r>
    </w:p>
    <w:p w14:paraId="050954C3" w14:textId="034A4DAE" w:rsidR="00323ABF" w:rsidRPr="00B92499" w:rsidRDefault="00323ABF" w:rsidP="009F64B5">
      <w:pPr>
        <w:pStyle w:val="Prrafodelista"/>
        <w:numPr>
          <w:ilvl w:val="0"/>
          <w:numId w:val="1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145. Disposiciones Particulares,</w:t>
      </w:r>
    </w:p>
    <w:p w14:paraId="52057EA0" w14:textId="5492C648" w:rsidR="00323ABF" w:rsidRPr="00B92499" w:rsidRDefault="00323ABF" w:rsidP="009F64B5">
      <w:pPr>
        <w:pStyle w:val="Prrafodelista"/>
        <w:numPr>
          <w:ilvl w:val="0"/>
          <w:numId w:val="1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146. Disposiciones Particulares, y </w:t>
      </w:r>
    </w:p>
    <w:p w14:paraId="37D7AC66" w14:textId="1DCD893C" w:rsidR="00323ABF" w:rsidRPr="00B92499" w:rsidRDefault="00323ABF" w:rsidP="009F64B5">
      <w:pPr>
        <w:pStyle w:val="Prrafodelista"/>
        <w:numPr>
          <w:ilvl w:val="0"/>
          <w:numId w:val="1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147. Disposiciones Particulares.</w:t>
      </w:r>
    </w:p>
    <w:p w14:paraId="67FD8A96" w14:textId="77777777" w:rsidR="00323ABF" w:rsidRPr="00B92499" w:rsidRDefault="00323ABF" w:rsidP="009F64B5">
      <w:pPr>
        <w:pStyle w:val="Ttulo2"/>
        <w:numPr>
          <w:ilvl w:val="1"/>
          <w:numId w:val="13"/>
        </w:numPr>
        <w:contextualSpacing/>
        <w:jc w:val="both"/>
        <w:rPr>
          <w:rFonts w:ascii="Arial" w:hAnsi="Arial" w:cs="Arial"/>
          <w:b/>
          <w:color w:val="auto"/>
          <w:sz w:val="24"/>
          <w:szCs w:val="24"/>
        </w:rPr>
      </w:pPr>
      <w:bookmarkStart w:id="40" w:name="_Toc23252996"/>
      <w:r w:rsidRPr="00B92499">
        <w:rPr>
          <w:rFonts w:ascii="Arial" w:hAnsi="Arial" w:cs="Arial"/>
          <w:b/>
          <w:color w:val="auto"/>
          <w:sz w:val="24"/>
          <w:szCs w:val="24"/>
        </w:rPr>
        <w:t>Análisis global de cumplimiento de los Sindicatos</w:t>
      </w:r>
      <w:bookmarkEnd w:id="40"/>
    </w:p>
    <w:p w14:paraId="04BA8BEA" w14:textId="77777777" w:rsidR="00323ABF" w:rsidRPr="00B92499" w:rsidRDefault="00323ABF" w:rsidP="00323ABF">
      <w:pPr>
        <w:rPr>
          <w:rFonts w:ascii="Arial" w:hAnsi="Arial" w:cs="Arial"/>
        </w:rPr>
      </w:pPr>
    </w:p>
    <w:p w14:paraId="0396474F" w14:textId="69D57858" w:rsidR="00323ABF" w:rsidRPr="00B92499" w:rsidRDefault="00323ABF" w:rsidP="00323ABF">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Índices Globales de Cumplimiento de las </w:t>
      </w:r>
      <w:r w:rsidR="008710F6" w:rsidRPr="00B92499">
        <w:rPr>
          <w:rFonts w:ascii="Arial" w:hAnsi="Arial" w:cs="Arial"/>
          <w:u w:val="single"/>
        </w:rPr>
        <w:t>obligaciones de transparencia</w:t>
      </w:r>
    </w:p>
    <w:p w14:paraId="373A5720" w14:textId="3260462A"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 IGOT, el Congreso obtuvo un promedio de </w:t>
      </w:r>
      <w:r w:rsidR="003356CA" w:rsidRPr="00B92499">
        <w:rPr>
          <w:rFonts w:ascii="Arial" w:hAnsi="Arial" w:cs="Arial"/>
        </w:rPr>
        <w:t>95.03</w:t>
      </w:r>
      <w:r w:rsidRPr="00B92499">
        <w:rPr>
          <w:rFonts w:ascii="Arial" w:hAnsi="Arial" w:cs="Arial"/>
        </w:rPr>
        <w:t xml:space="preserve">%, el cual está compuesto por un índice de </w:t>
      </w:r>
      <w:r w:rsidR="003356CA" w:rsidRPr="00B92499">
        <w:rPr>
          <w:rFonts w:ascii="Arial" w:hAnsi="Arial" w:cs="Arial"/>
        </w:rPr>
        <w:t>95.41</w:t>
      </w:r>
      <w:r w:rsidRPr="00B92499">
        <w:rPr>
          <w:rFonts w:ascii="Arial" w:hAnsi="Arial" w:cs="Arial"/>
        </w:rPr>
        <w:t xml:space="preserve">% en lo que corresponde a la Plataforma Nacional de Transparencia (PNT) y un índice de </w:t>
      </w:r>
      <w:r w:rsidR="003356CA" w:rsidRPr="00B92499">
        <w:rPr>
          <w:rFonts w:ascii="Arial" w:hAnsi="Arial" w:cs="Arial"/>
        </w:rPr>
        <w:t>94.65</w:t>
      </w:r>
      <w:r w:rsidRPr="00B92499">
        <w:rPr>
          <w:rFonts w:ascii="Arial" w:hAnsi="Arial" w:cs="Arial"/>
        </w:rPr>
        <w:t xml:space="preserve">% en lo que se refiere al Portal Institucional (PI). </w:t>
      </w:r>
    </w:p>
    <w:p w14:paraId="542D2DA8"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643D675C" w14:textId="77777777"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No obstante, el grado de cumplimiento anteriormente señalado está conformado por el índice de cumplimiento respecto de la información que se encuentra pública y actualizada tanto en los Portales de Internet Institucionales como en la Plataforma Nacional de Transparencia y el índice de cumplimiento respecto de la atención a lo mandatado en las obligaciones de transparencia a través de la publicación de una nota fundada y motivada que aclara el por qué no se generó, publicó o actualizó la información. </w:t>
      </w:r>
    </w:p>
    <w:p w14:paraId="22B332C1"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4FAED308" w14:textId="47D5F059"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El grado de cumplimiento de este ámbito, consistente en </w:t>
      </w:r>
      <w:r w:rsidR="003356CA" w:rsidRPr="00B92499">
        <w:rPr>
          <w:rFonts w:ascii="Arial" w:hAnsi="Arial" w:cs="Arial"/>
        </w:rPr>
        <w:t>95.03</w:t>
      </w:r>
      <w:r w:rsidRPr="00B92499">
        <w:rPr>
          <w:rFonts w:ascii="Arial" w:hAnsi="Arial" w:cs="Arial"/>
        </w:rPr>
        <w:t xml:space="preserve">%, está integrado por </w:t>
      </w:r>
      <w:r w:rsidR="003356CA" w:rsidRPr="00B92499">
        <w:rPr>
          <w:rFonts w:ascii="Arial" w:hAnsi="Arial" w:cs="Arial"/>
        </w:rPr>
        <w:t>93.42</w:t>
      </w:r>
      <w:r w:rsidRPr="00B92499">
        <w:rPr>
          <w:rFonts w:ascii="Arial" w:hAnsi="Arial" w:cs="Arial"/>
        </w:rPr>
        <w:t xml:space="preserve">% de información publicada y actualizada en atención a los principios mandatados en la Ley de Transparencia Local y un </w:t>
      </w:r>
      <w:r w:rsidR="003356CA" w:rsidRPr="00B92499">
        <w:rPr>
          <w:rFonts w:ascii="Arial" w:hAnsi="Arial" w:cs="Arial"/>
        </w:rPr>
        <w:t>1.61</w:t>
      </w:r>
      <w:r w:rsidRPr="00B92499">
        <w:rPr>
          <w:rFonts w:ascii="Arial" w:hAnsi="Arial" w:cs="Arial"/>
        </w:rPr>
        <w:t xml:space="preserve">% que corresponde a notas aclaratorias. </w:t>
      </w:r>
    </w:p>
    <w:p w14:paraId="00E2A73D"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12366DA9" w14:textId="548F922C" w:rsidR="00323ABF" w:rsidRPr="00B92499" w:rsidRDefault="00323ABF" w:rsidP="00323ABF">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4D199D19" w14:textId="77777777" w:rsidR="00323ABF" w:rsidRPr="00B92499" w:rsidRDefault="00323ABF" w:rsidP="00323ABF">
      <w:pPr>
        <w:spacing w:before="100" w:beforeAutospacing="1" w:after="100" w:afterAutospacing="1" w:line="360" w:lineRule="auto"/>
        <w:contextualSpacing/>
        <w:jc w:val="both"/>
        <w:rPr>
          <w:rFonts w:ascii="Arial" w:hAnsi="Arial" w:cs="Arial"/>
          <w:u w:val="single"/>
        </w:rPr>
      </w:pPr>
    </w:p>
    <w:p w14:paraId="6AACAFF8" w14:textId="1350A6D6"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w:t>
      </w:r>
      <w:r w:rsidR="00A64325" w:rsidRPr="00B92499">
        <w:rPr>
          <w:rFonts w:ascii="Arial" w:hAnsi="Arial" w:cs="Arial"/>
        </w:rPr>
        <w:t xml:space="preserve">ámbito </w:t>
      </w:r>
      <w:r w:rsidRPr="00B92499">
        <w:rPr>
          <w:rFonts w:ascii="Arial" w:hAnsi="Arial" w:cs="Arial"/>
        </w:rPr>
        <w:t>ha cumplido parcialmente en la publicación y actualización de sus obligaciones comunes, específicas y disposiciones particulares; obteniendo en las</w:t>
      </w:r>
      <w:r w:rsidR="000D67A7" w:rsidRPr="00B92499">
        <w:rPr>
          <w:rFonts w:ascii="Arial" w:hAnsi="Arial" w:cs="Arial"/>
        </w:rPr>
        <w:t xml:space="preserve"> 3 </w:t>
      </w:r>
      <w:r w:rsidRPr="00B92499">
        <w:rPr>
          <w:rFonts w:ascii="Arial" w:hAnsi="Arial" w:cs="Arial"/>
        </w:rPr>
        <w:t xml:space="preserve">un promedio de cumplimiento </w:t>
      </w:r>
      <w:r w:rsidR="003356CA" w:rsidRPr="00B92499">
        <w:rPr>
          <w:rFonts w:ascii="Arial" w:hAnsi="Arial" w:cs="Arial"/>
        </w:rPr>
        <w:t xml:space="preserve">de 94.35%, 93.57% y 98.57% respectivamente. </w:t>
      </w:r>
    </w:p>
    <w:p w14:paraId="7DE7A431"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3A92E99B" w14:textId="6E3CE684"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misma línea, los artículos </w:t>
      </w:r>
      <w:r w:rsidR="003356CA" w:rsidRPr="00B92499">
        <w:rPr>
          <w:rFonts w:ascii="Arial" w:hAnsi="Arial" w:cs="Arial"/>
        </w:rPr>
        <w:t>145 y 146</w:t>
      </w:r>
      <w:r w:rsidRPr="00B92499">
        <w:rPr>
          <w:rFonts w:ascii="Arial" w:hAnsi="Arial" w:cs="Arial"/>
        </w:rPr>
        <w:t xml:space="preserve"> tuvieron un ICP de 100%, logrando un cumplimiento total, el artículo </w:t>
      </w:r>
      <w:r w:rsidR="003356CA" w:rsidRPr="00B92499">
        <w:rPr>
          <w:rFonts w:ascii="Arial" w:hAnsi="Arial" w:cs="Arial"/>
        </w:rPr>
        <w:t>121</w:t>
      </w:r>
      <w:r w:rsidRPr="00B92499">
        <w:rPr>
          <w:rFonts w:ascii="Arial" w:hAnsi="Arial" w:cs="Arial"/>
        </w:rPr>
        <w:t xml:space="preserve"> obtuvo un ICP de </w:t>
      </w:r>
      <w:r w:rsidR="003356CA" w:rsidRPr="00B92499">
        <w:rPr>
          <w:rFonts w:ascii="Arial" w:hAnsi="Arial" w:cs="Arial"/>
        </w:rPr>
        <w:t>94.35</w:t>
      </w:r>
      <w:r w:rsidRPr="00B92499">
        <w:rPr>
          <w:rFonts w:ascii="Arial" w:hAnsi="Arial" w:cs="Arial"/>
        </w:rPr>
        <w:t xml:space="preserve">%, el artículo </w:t>
      </w:r>
      <w:r w:rsidR="003356CA" w:rsidRPr="00B92499">
        <w:rPr>
          <w:rFonts w:ascii="Arial" w:hAnsi="Arial" w:cs="Arial"/>
        </w:rPr>
        <w:t>147</w:t>
      </w:r>
      <w:r w:rsidRPr="00B92499">
        <w:rPr>
          <w:rFonts w:ascii="Arial" w:hAnsi="Arial" w:cs="Arial"/>
        </w:rPr>
        <w:t xml:space="preserve"> alcanzó un ICP </w:t>
      </w:r>
      <w:r w:rsidR="003356CA" w:rsidRPr="00B92499">
        <w:rPr>
          <w:rFonts w:ascii="Arial" w:hAnsi="Arial" w:cs="Arial"/>
        </w:rPr>
        <w:t>94.28</w:t>
      </w:r>
      <w:r w:rsidRPr="00B92499">
        <w:rPr>
          <w:rFonts w:ascii="Arial" w:hAnsi="Arial" w:cs="Arial"/>
        </w:rPr>
        <w:t>%</w:t>
      </w:r>
      <w:r w:rsidR="003356CA" w:rsidRPr="00B92499">
        <w:rPr>
          <w:rFonts w:ascii="Arial" w:hAnsi="Arial" w:cs="Arial"/>
        </w:rPr>
        <w:t xml:space="preserve"> y el artículo 12</w:t>
      </w:r>
      <w:r w:rsidR="00FF3679" w:rsidRPr="00B92499">
        <w:rPr>
          <w:rFonts w:ascii="Arial" w:hAnsi="Arial" w:cs="Arial"/>
        </w:rPr>
        <w:t>5</w:t>
      </w:r>
      <w:r w:rsidR="003356CA" w:rsidRPr="00B92499">
        <w:rPr>
          <w:rFonts w:ascii="Arial" w:hAnsi="Arial" w:cs="Arial"/>
        </w:rPr>
        <w:t xml:space="preserve"> </w:t>
      </w:r>
      <w:r w:rsidRPr="00B92499">
        <w:rPr>
          <w:rFonts w:ascii="Arial" w:hAnsi="Arial" w:cs="Arial"/>
        </w:rPr>
        <w:t>tuvo un ICP de</w:t>
      </w:r>
      <w:r w:rsidR="003356CA" w:rsidRPr="00B92499">
        <w:rPr>
          <w:rFonts w:ascii="Arial" w:hAnsi="Arial" w:cs="Arial"/>
        </w:rPr>
        <w:t xml:space="preserve"> 93.50</w:t>
      </w:r>
      <w:r w:rsidRPr="00B92499">
        <w:rPr>
          <w:rFonts w:ascii="Arial" w:hAnsi="Arial" w:cs="Arial"/>
        </w:rPr>
        <w:t>%</w:t>
      </w:r>
      <w:r w:rsidR="003356CA" w:rsidRPr="00B92499">
        <w:rPr>
          <w:rFonts w:ascii="Arial" w:hAnsi="Arial" w:cs="Arial"/>
        </w:rPr>
        <w:t xml:space="preserve">. </w:t>
      </w:r>
    </w:p>
    <w:p w14:paraId="5823CFBB" w14:textId="70E50BE0" w:rsidR="003356CA" w:rsidRPr="00B92499" w:rsidRDefault="003356CA" w:rsidP="00323ABF">
      <w:pPr>
        <w:spacing w:before="100" w:beforeAutospacing="1" w:after="100" w:afterAutospacing="1" w:line="360" w:lineRule="auto"/>
        <w:contextualSpacing/>
        <w:jc w:val="both"/>
        <w:rPr>
          <w:rFonts w:ascii="Arial" w:hAnsi="Arial" w:cs="Arial"/>
        </w:rPr>
      </w:pPr>
    </w:p>
    <w:p w14:paraId="1E059380" w14:textId="08674132" w:rsidR="003356CA" w:rsidRPr="00B92499" w:rsidRDefault="003356CA" w:rsidP="00323ABF">
      <w:pPr>
        <w:spacing w:before="100" w:beforeAutospacing="1" w:after="100" w:afterAutospacing="1" w:line="360" w:lineRule="auto"/>
        <w:contextualSpacing/>
        <w:jc w:val="both"/>
        <w:rPr>
          <w:rFonts w:ascii="Arial" w:hAnsi="Arial" w:cs="Arial"/>
        </w:rPr>
      </w:pPr>
      <w:r w:rsidRPr="00B92499">
        <w:rPr>
          <w:rFonts w:ascii="Arial" w:hAnsi="Arial" w:cs="Arial"/>
        </w:rPr>
        <w:t>De igual forma, respecto de cada uno de los artículos que conforman el índice global, el ICP del artíc</w:t>
      </w:r>
      <w:r w:rsidR="00210D90" w:rsidRPr="00B92499">
        <w:rPr>
          <w:rFonts w:ascii="Arial" w:hAnsi="Arial" w:cs="Arial"/>
        </w:rPr>
        <w:t>ulo 121 está compuesto por 2.5%</w:t>
      </w:r>
      <w:r w:rsidRPr="00B92499">
        <w:rPr>
          <w:rFonts w:ascii="Arial" w:hAnsi="Arial" w:cs="Arial"/>
        </w:rPr>
        <w:t xml:space="preserve"> de notas aclaratorias, el ICP del artículo 125 por 0.28% de notas y los ICP de los artículos 145, 146 y 147 no tuvieron cambio alguno, debido a que no fueron utilizadas notas aclaratorias.  </w:t>
      </w:r>
    </w:p>
    <w:p w14:paraId="4C30D2FC" w14:textId="77777777" w:rsidR="003356CA" w:rsidRPr="00B92499" w:rsidRDefault="003356CA" w:rsidP="00323ABF">
      <w:pPr>
        <w:spacing w:before="100" w:beforeAutospacing="1" w:after="100" w:afterAutospacing="1" w:line="360" w:lineRule="auto"/>
        <w:contextualSpacing/>
        <w:jc w:val="both"/>
        <w:rPr>
          <w:rFonts w:ascii="Arial" w:hAnsi="Arial" w:cs="Arial"/>
        </w:rPr>
      </w:pPr>
    </w:p>
    <w:p w14:paraId="3118B840" w14:textId="280CE23A" w:rsidR="00323ABF" w:rsidRPr="00B92499" w:rsidRDefault="00323ABF" w:rsidP="009F64B5">
      <w:pPr>
        <w:pStyle w:val="Ttulo2"/>
        <w:numPr>
          <w:ilvl w:val="1"/>
          <w:numId w:val="13"/>
        </w:numPr>
        <w:contextualSpacing/>
        <w:jc w:val="both"/>
        <w:rPr>
          <w:rFonts w:ascii="Arial" w:hAnsi="Arial" w:cs="Arial"/>
          <w:b/>
          <w:color w:val="auto"/>
          <w:sz w:val="24"/>
          <w:szCs w:val="24"/>
        </w:rPr>
      </w:pPr>
      <w:bookmarkStart w:id="41" w:name="_Toc23252997"/>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121 y sus respectivas fracciones</w:t>
      </w:r>
      <w:bookmarkEnd w:id="41"/>
    </w:p>
    <w:p w14:paraId="1C613A08" w14:textId="594682DC"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3356CA" w:rsidRPr="00B92499">
        <w:rPr>
          <w:rFonts w:ascii="Arial" w:hAnsi="Arial" w:cs="Arial"/>
        </w:rPr>
        <w:t>Congreso</w:t>
      </w:r>
      <w:r w:rsidRPr="00B92499">
        <w:rPr>
          <w:rFonts w:ascii="Arial" w:hAnsi="Arial" w:cs="Arial"/>
        </w:rPr>
        <w:t xml:space="preserve"> obtuvo un ICP en este artículo de </w:t>
      </w:r>
      <w:r w:rsidR="003356CA" w:rsidRPr="00B92499">
        <w:rPr>
          <w:rFonts w:ascii="Arial" w:hAnsi="Arial" w:cs="Arial"/>
        </w:rPr>
        <w:t>94.35</w:t>
      </w:r>
      <w:r w:rsidRPr="00B92499">
        <w:rPr>
          <w:rFonts w:ascii="Arial" w:hAnsi="Arial" w:cs="Arial"/>
        </w:rPr>
        <w:t xml:space="preserve">%; por lo que se encuentra dentro del área de cumplimiento parcial. Lo anterior se debió a que de las </w:t>
      </w:r>
      <w:r w:rsidR="00743C68" w:rsidRPr="00B92499">
        <w:rPr>
          <w:rFonts w:ascii="Arial" w:hAnsi="Arial" w:cs="Arial"/>
        </w:rPr>
        <w:t>54</w:t>
      </w:r>
      <w:r w:rsidRPr="00B92499">
        <w:rPr>
          <w:rFonts w:ascii="Arial" w:hAnsi="Arial" w:cs="Arial"/>
        </w:rPr>
        <w:t xml:space="preserve"> fracciones que les son aplicables, en </w:t>
      </w:r>
      <w:r w:rsidR="00743C68" w:rsidRPr="00B92499">
        <w:rPr>
          <w:rFonts w:ascii="Arial" w:hAnsi="Arial" w:cs="Arial"/>
        </w:rPr>
        <w:t>29</w:t>
      </w:r>
      <w:r w:rsidRPr="00B92499">
        <w:rPr>
          <w:rFonts w:ascii="Arial" w:hAnsi="Arial" w:cs="Arial"/>
        </w:rPr>
        <w:t xml:space="preserve"> alcanzó un cumplimiento total de 100%, en </w:t>
      </w:r>
      <w:r w:rsidR="00743C68" w:rsidRPr="00B92499">
        <w:rPr>
          <w:rFonts w:ascii="Arial" w:hAnsi="Arial" w:cs="Arial"/>
        </w:rPr>
        <w:t>24</w:t>
      </w:r>
      <w:r w:rsidRPr="00B92499">
        <w:rPr>
          <w:rFonts w:ascii="Arial" w:hAnsi="Arial" w:cs="Arial"/>
        </w:rPr>
        <w:t xml:space="preserve"> fracciones un cumplimiento parcial comprendido entre el </w:t>
      </w:r>
      <w:r w:rsidR="00743C68" w:rsidRPr="00B92499">
        <w:rPr>
          <w:rFonts w:ascii="Arial" w:hAnsi="Arial" w:cs="Arial"/>
        </w:rPr>
        <w:t>88.75</w:t>
      </w:r>
      <w:r w:rsidRPr="00B92499">
        <w:rPr>
          <w:rFonts w:ascii="Arial" w:hAnsi="Arial" w:cs="Arial"/>
        </w:rPr>
        <w:t>% y 9</w:t>
      </w:r>
      <w:r w:rsidR="00743C68" w:rsidRPr="00B92499">
        <w:rPr>
          <w:rFonts w:ascii="Arial" w:hAnsi="Arial" w:cs="Arial"/>
        </w:rPr>
        <w:t>9.40</w:t>
      </w:r>
      <w:r w:rsidRPr="00B92499">
        <w:rPr>
          <w:rFonts w:ascii="Arial" w:hAnsi="Arial" w:cs="Arial"/>
        </w:rPr>
        <w:t xml:space="preserve">% y en </w:t>
      </w:r>
      <w:r w:rsidR="00743C68" w:rsidRPr="00B92499">
        <w:rPr>
          <w:rFonts w:ascii="Arial" w:hAnsi="Arial" w:cs="Arial"/>
        </w:rPr>
        <w:t>una fracción</w:t>
      </w:r>
      <w:r w:rsidRPr="00B92499">
        <w:rPr>
          <w:rFonts w:ascii="Arial" w:hAnsi="Arial" w:cs="Arial"/>
        </w:rPr>
        <w:t xml:space="preserve"> alcanzó un incumplimiento parcial </w:t>
      </w:r>
      <w:r w:rsidR="00743C68" w:rsidRPr="00B92499">
        <w:rPr>
          <w:rFonts w:ascii="Arial" w:hAnsi="Arial" w:cs="Arial"/>
        </w:rPr>
        <w:t>de 50</w:t>
      </w:r>
      <w:r w:rsidRPr="00B92499">
        <w:rPr>
          <w:rFonts w:ascii="Arial" w:hAnsi="Arial" w:cs="Arial"/>
        </w:rPr>
        <w:t>%</w:t>
      </w:r>
      <w:r w:rsidR="00743C68" w:rsidRPr="00B92499">
        <w:rPr>
          <w:rFonts w:ascii="Arial" w:hAnsi="Arial" w:cs="Arial"/>
        </w:rPr>
        <w:t xml:space="preserve">. </w:t>
      </w:r>
    </w:p>
    <w:p w14:paraId="58FC0305"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570CC6E8" w14:textId="7DF2B180"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de las </w:t>
      </w:r>
      <w:r w:rsidR="00743C68" w:rsidRPr="00B92499">
        <w:rPr>
          <w:rFonts w:ascii="Arial" w:hAnsi="Arial" w:cs="Arial"/>
        </w:rPr>
        <w:t>54</w:t>
      </w:r>
      <w:r w:rsidRPr="00B92499">
        <w:rPr>
          <w:rFonts w:ascii="Arial" w:hAnsi="Arial" w:cs="Arial"/>
        </w:rPr>
        <w:t xml:space="preserve"> fracciones que le son aplicables</w:t>
      </w:r>
      <w:r w:rsidR="00743C68" w:rsidRPr="00B92499">
        <w:rPr>
          <w:rFonts w:ascii="Arial" w:hAnsi="Arial" w:cs="Arial"/>
        </w:rPr>
        <w:t>,</w:t>
      </w:r>
      <w:r w:rsidRPr="00B92499">
        <w:rPr>
          <w:rFonts w:ascii="Arial" w:hAnsi="Arial" w:cs="Arial"/>
        </w:rPr>
        <w:t xml:space="preserve"> las </w:t>
      </w:r>
      <w:r w:rsidR="000D67A7" w:rsidRPr="00B92499">
        <w:rPr>
          <w:rFonts w:ascii="Arial" w:hAnsi="Arial" w:cs="Arial"/>
        </w:rPr>
        <w:t xml:space="preserve"> 5  </w:t>
      </w:r>
      <w:r w:rsidRPr="00B92499">
        <w:rPr>
          <w:rFonts w:ascii="Arial" w:hAnsi="Arial" w:cs="Arial"/>
        </w:rPr>
        <w:t xml:space="preserve"> que tienen mayor área de oportunidad son las siguientes: </w:t>
      </w:r>
    </w:p>
    <w:p w14:paraId="1240224F" w14:textId="114F9DF2" w:rsidR="00323ABF" w:rsidRPr="00B92499" w:rsidRDefault="00323ABF" w:rsidP="00743C68">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743C68" w:rsidRPr="00B92499">
        <w:rPr>
          <w:rFonts w:ascii="Arial" w:hAnsi="Arial" w:cs="Arial"/>
          <w:sz w:val="24"/>
          <w:szCs w:val="24"/>
          <w:lang w:val="es-ES_tradnl"/>
        </w:rPr>
        <w:t>XVIII</w:t>
      </w:r>
      <w:r w:rsidRPr="00B92499">
        <w:rPr>
          <w:rFonts w:ascii="Arial" w:hAnsi="Arial" w:cs="Arial"/>
          <w:sz w:val="24"/>
          <w:szCs w:val="24"/>
          <w:lang w:val="es-ES_tradnl"/>
        </w:rPr>
        <w:t xml:space="preserve">, con un ICP de </w:t>
      </w:r>
      <w:r w:rsidR="00743C68" w:rsidRPr="00B92499">
        <w:rPr>
          <w:rFonts w:ascii="Arial" w:hAnsi="Arial" w:cs="Arial"/>
          <w:sz w:val="24"/>
          <w:szCs w:val="24"/>
          <w:lang w:val="es-ES_tradnl"/>
        </w:rPr>
        <w:t>50</w:t>
      </w:r>
      <w:r w:rsidRPr="00B92499">
        <w:rPr>
          <w:rFonts w:ascii="Arial" w:hAnsi="Arial" w:cs="Arial"/>
          <w:sz w:val="24"/>
          <w:szCs w:val="24"/>
          <w:lang w:val="es-ES_tradnl"/>
        </w:rPr>
        <w:t xml:space="preserve">% en la cual se solicita </w:t>
      </w:r>
      <w:r w:rsidR="00743C68" w:rsidRPr="00B92499">
        <w:rPr>
          <w:rFonts w:ascii="Arial" w:hAnsi="Arial" w:cs="Arial"/>
          <w:sz w:val="24"/>
          <w:szCs w:val="24"/>
          <w:lang w:val="es-ES_tradnl"/>
        </w:rPr>
        <w:t>publicar el listado de personas servidoras públicas con sanciones administrativas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en</w:t>
      </w:r>
      <w:r w:rsidR="003D3231" w:rsidRPr="00B92499">
        <w:rPr>
          <w:rFonts w:ascii="Arial" w:hAnsi="Arial" w:cs="Arial"/>
          <w:sz w:val="24"/>
          <w:szCs w:val="24"/>
          <w:lang w:val="es-ES_tradnl"/>
        </w:rPr>
        <w:t xml:space="preserve"> publicar el formato correspondiente, ya que no se cuenta con el mismo, o en su caso, una leyenda indicando que se está en espera de que el </w:t>
      </w:r>
      <w:r w:rsidR="00C7683E" w:rsidRPr="00B92499">
        <w:rPr>
          <w:rFonts w:ascii="Arial" w:hAnsi="Arial" w:cs="Arial"/>
          <w:sz w:val="24"/>
          <w:szCs w:val="24"/>
          <w:lang w:val="es-ES_tradnl"/>
        </w:rPr>
        <w:t xml:space="preserve">INFO </w:t>
      </w:r>
      <w:r w:rsidR="003D3231" w:rsidRPr="00B92499">
        <w:rPr>
          <w:rFonts w:ascii="Arial" w:hAnsi="Arial" w:cs="Arial"/>
          <w:sz w:val="24"/>
          <w:szCs w:val="24"/>
          <w:lang w:val="es-ES_tradnl"/>
        </w:rPr>
        <w:t>CDMX firme los respectivos acuerdos con la Secretaría de la Contraloría General.</w:t>
      </w:r>
    </w:p>
    <w:p w14:paraId="753EAFFA" w14:textId="287EA01D" w:rsidR="00F95061" w:rsidRPr="00B92499" w:rsidRDefault="00323ABF" w:rsidP="00F95061">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w:t>
      </w:r>
      <w:r w:rsidR="00743C68" w:rsidRPr="00B92499">
        <w:rPr>
          <w:rFonts w:ascii="Arial" w:hAnsi="Arial" w:cs="Arial"/>
          <w:sz w:val="24"/>
          <w:szCs w:val="24"/>
          <w:lang w:val="es-ES_tradnl"/>
        </w:rPr>
        <w:t>XXXII</w:t>
      </w:r>
      <w:r w:rsidRPr="00B92499">
        <w:rPr>
          <w:rFonts w:ascii="Arial" w:hAnsi="Arial" w:cs="Arial"/>
          <w:sz w:val="24"/>
          <w:szCs w:val="24"/>
          <w:lang w:val="es-ES_tradnl"/>
        </w:rPr>
        <w:t xml:space="preserve"> con un ICP de </w:t>
      </w:r>
      <w:r w:rsidR="00743C68" w:rsidRPr="00B92499">
        <w:rPr>
          <w:rFonts w:ascii="Arial" w:hAnsi="Arial" w:cs="Arial"/>
          <w:sz w:val="24"/>
          <w:szCs w:val="24"/>
          <w:lang w:val="es-ES_tradnl"/>
        </w:rPr>
        <w:t>88.75</w:t>
      </w:r>
      <w:r w:rsidRPr="00B92499">
        <w:rPr>
          <w:rFonts w:ascii="Arial" w:hAnsi="Arial" w:cs="Arial"/>
          <w:sz w:val="24"/>
          <w:szCs w:val="24"/>
          <w:lang w:val="es-ES_tradnl"/>
        </w:rPr>
        <w:t xml:space="preserve">% que hace referencia a la publicación de </w:t>
      </w:r>
      <w:r w:rsidR="00743C68" w:rsidRPr="00B92499">
        <w:rPr>
          <w:rFonts w:ascii="Arial" w:hAnsi="Arial" w:cs="Arial"/>
          <w:sz w:val="24"/>
          <w:szCs w:val="24"/>
          <w:lang w:val="es-ES_tradnl"/>
        </w:rPr>
        <w:t xml:space="preserve">estadísticas en general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w:t>
      </w:r>
      <w:r w:rsidR="00F95061" w:rsidRPr="00B92499">
        <w:rPr>
          <w:rFonts w:ascii="Arial" w:hAnsi="Arial" w:cs="Arial"/>
          <w:sz w:val="24"/>
          <w:szCs w:val="24"/>
          <w:lang w:val="es-ES_tradnl"/>
        </w:rPr>
        <w:t>n publicar la información en forma completa y correcta, verificando el adecuado funcionamiento de los hipervínculos a la información relativa.</w:t>
      </w:r>
    </w:p>
    <w:p w14:paraId="253A3606" w14:textId="45BF19FE" w:rsidR="00F95061" w:rsidRPr="00B92499" w:rsidRDefault="00323ABF" w:rsidP="00F95061">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743C68" w:rsidRPr="00B92499">
        <w:rPr>
          <w:rFonts w:ascii="Arial" w:hAnsi="Arial" w:cs="Arial"/>
          <w:sz w:val="24"/>
          <w:szCs w:val="24"/>
          <w:lang w:val="es-ES_tradnl"/>
        </w:rPr>
        <w:t>VII</w:t>
      </w:r>
      <w:r w:rsidRPr="00B92499">
        <w:rPr>
          <w:rFonts w:ascii="Arial" w:hAnsi="Arial" w:cs="Arial"/>
          <w:sz w:val="24"/>
          <w:szCs w:val="24"/>
          <w:lang w:val="es-ES_tradnl"/>
        </w:rPr>
        <w:t xml:space="preserve">, con un ICP de </w:t>
      </w:r>
      <w:r w:rsidR="00743C68" w:rsidRPr="00B92499">
        <w:rPr>
          <w:rFonts w:ascii="Arial" w:hAnsi="Arial" w:cs="Arial"/>
          <w:sz w:val="24"/>
          <w:szCs w:val="24"/>
          <w:lang w:val="es-ES_tradnl"/>
        </w:rPr>
        <w:t>90.83</w:t>
      </w:r>
      <w:r w:rsidRPr="00B92499">
        <w:rPr>
          <w:rFonts w:ascii="Arial" w:hAnsi="Arial" w:cs="Arial"/>
          <w:sz w:val="24"/>
          <w:szCs w:val="24"/>
          <w:lang w:val="es-ES_tradnl"/>
        </w:rPr>
        <w:t xml:space="preserve">%, que establece la </w:t>
      </w:r>
      <w:r w:rsidR="00743C68" w:rsidRPr="00B92499">
        <w:rPr>
          <w:rFonts w:ascii="Arial" w:hAnsi="Arial" w:cs="Arial"/>
          <w:sz w:val="24"/>
          <w:szCs w:val="24"/>
          <w:lang w:val="es-ES_tradnl"/>
        </w:rPr>
        <w:t xml:space="preserve">publicación los indicadores de gestión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El área de oportunidad del </w:t>
      </w:r>
      <w:r w:rsidR="00743C68" w:rsidRPr="00B92499">
        <w:rPr>
          <w:rFonts w:ascii="Arial" w:hAnsi="Arial" w:cs="Arial"/>
          <w:sz w:val="24"/>
          <w:szCs w:val="24"/>
          <w:lang w:val="es-ES_tradnl"/>
        </w:rPr>
        <w:t>Congreso</w:t>
      </w:r>
      <w:r w:rsidRPr="00B92499">
        <w:rPr>
          <w:rFonts w:ascii="Arial" w:hAnsi="Arial" w:cs="Arial"/>
          <w:sz w:val="24"/>
          <w:szCs w:val="24"/>
          <w:lang w:val="es-ES_tradnl"/>
        </w:rPr>
        <w:t xml:space="preserve"> consiste </w:t>
      </w:r>
      <w:r w:rsidR="00743C68" w:rsidRPr="00B92499">
        <w:rPr>
          <w:rFonts w:ascii="Arial" w:hAnsi="Arial" w:cs="Arial"/>
          <w:sz w:val="24"/>
          <w:szCs w:val="24"/>
          <w:lang w:val="es-ES_tradnl"/>
        </w:rPr>
        <w:t>en</w:t>
      </w:r>
      <w:r w:rsidR="00F95061" w:rsidRPr="00B92499">
        <w:rPr>
          <w:rFonts w:ascii="Arial" w:hAnsi="Arial" w:cs="Arial"/>
          <w:sz w:val="24"/>
          <w:szCs w:val="24"/>
          <w:lang w:val="es-ES_tradnl"/>
        </w:rPr>
        <w:t xml:space="preserve"> publicar la información correspondiente de manera completa y actualizada, o en su defecto, señalar de manera fundada y motivada las razones por las que no cuenta con la información respectiva.</w:t>
      </w:r>
    </w:p>
    <w:p w14:paraId="41B51107" w14:textId="0B3EC80A" w:rsidR="00743C68" w:rsidRPr="00B92499" w:rsidRDefault="00743C68" w:rsidP="00F95061">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XXXVIII, con un ICP de 90.83%, que establece la publicación de la relación del número de recomendaciones emitidas por el Instituto de Transparencia al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El área de oportunidad del Congreso consiste en</w:t>
      </w:r>
      <w:r w:rsidR="00F95061" w:rsidRPr="00B92499">
        <w:rPr>
          <w:rFonts w:ascii="Arial" w:hAnsi="Arial" w:cs="Arial"/>
          <w:sz w:val="24"/>
          <w:szCs w:val="24"/>
          <w:lang w:val="es-ES_tradnl"/>
        </w:rPr>
        <w:t xml:space="preserve"> publicar la información relativa en forma correcta y completa, o en su caso, explicar de manera fundada y motiva por qué no se cuenta con la información no publicada.</w:t>
      </w:r>
    </w:p>
    <w:p w14:paraId="6DF7423D" w14:textId="6EF86746" w:rsidR="00743C68" w:rsidRPr="00B92499" w:rsidRDefault="00743C68" w:rsidP="00743C68">
      <w:pPr>
        <w:pStyle w:val="Prrafodelista"/>
        <w:numPr>
          <w:ilvl w:val="0"/>
          <w:numId w:val="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XVII con un ICP de 91.66%, que establece la publicación de los currículos de jefe de departamento hasta el Titular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El área de oportunidad del Congreso consiste en</w:t>
      </w:r>
      <w:r w:rsidR="00F95061" w:rsidRPr="00B92499">
        <w:rPr>
          <w:rFonts w:ascii="Arial" w:hAnsi="Arial" w:cs="Arial"/>
          <w:sz w:val="24"/>
          <w:szCs w:val="24"/>
          <w:lang w:val="es-ES_tradnl"/>
        </w:rPr>
        <w:t xml:space="preserve"> publicar la información respectiva en forma completa, como lo venía haciendo su antecesor, la Asamblea Legislativa del Distrito Federal.</w:t>
      </w:r>
      <w:r w:rsidRPr="00B92499">
        <w:rPr>
          <w:rFonts w:ascii="Arial" w:hAnsi="Arial" w:cs="Arial"/>
          <w:sz w:val="24"/>
          <w:szCs w:val="24"/>
          <w:lang w:val="es-ES_tradnl"/>
        </w:rPr>
        <w:t xml:space="preserve"> </w:t>
      </w:r>
    </w:p>
    <w:p w14:paraId="39AE2180" w14:textId="5F1601F8"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en </w:t>
      </w:r>
      <w:r w:rsidR="00743C68" w:rsidRPr="00B92499">
        <w:rPr>
          <w:rFonts w:ascii="Arial" w:hAnsi="Arial" w:cs="Arial"/>
        </w:rPr>
        <w:t>29</w:t>
      </w:r>
      <w:r w:rsidRPr="00B92499">
        <w:rPr>
          <w:rFonts w:ascii="Arial" w:hAnsi="Arial" w:cs="Arial"/>
        </w:rPr>
        <w:t xml:space="preserve"> fracciones del artículo 121, </w:t>
      </w:r>
      <w:r w:rsidR="0020458B" w:rsidRPr="00B92499">
        <w:rPr>
          <w:rFonts w:ascii="Arial" w:hAnsi="Arial" w:cs="Arial"/>
        </w:rPr>
        <w:t>el Congreso</w:t>
      </w:r>
      <w:r w:rsidRPr="00B92499">
        <w:rPr>
          <w:rFonts w:ascii="Arial" w:hAnsi="Arial" w:cs="Arial"/>
        </w:rPr>
        <w:t xml:space="preserve"> alcanzó un ICP de 100%.</w:t>
      </w:r>
    </w:p>
    <w:p w14:paraId="6847F7DA"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2BFC438F" w14:textId="3E4A5354" w:rsidR="00323ABF" w:rsidRPr="00B92499" w:rsidRDefault="00323ABF" w:rsidP="00323ABF">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121</w:t>
      </w:r>
      <w:r w:rsidR="00490622" w:rsidRPr="00B92499">
        <w:rPr>
          <w:rFonts w:ascii="Arial" w:hAnsi="Arial" w:cs="Arial"/>
        </w:rPr>
        <w:t>,</w:t>
      </w:r>
      <w:r w:rsidRPr="00B92499">
        <w:rPr>
          <w:rFonts w:ascii="Arial" w:hAnsi="Arial" w:cs="Arial"/>
        </w:rPr>
        <w:t xml:space="preserve"> es presentada la siguiente tabla ordenada de forma descendente. </w:t>
      </w:r>
    </w:p>
    <w:tbl>
      <w:tblPr>
        <w:tblW w:w="8927" w:type="dxa"/>
        <w:tblCellMar>
          <w:left w:w="70" w:type="dxa"/>
          <w:right w:w="70" w:type="dxa"/>
        </w:tblCellMar>
        <w:tblLook w:val="04A0" w:firstRow="1" w:lastRow="0" w:firstColumn="1" w:lastColumn="0" w:noHBand="0" w:noVBand="1"/>
      </w:tblPr>
      <w:tblGrid>
        <w:gridCol w:w="974"/>
        <w:gridCol w:w="7106"/>
        <w:gridCol w:w="848"/>
      </w:tblGrid>
      <w:tr w:rsidR="00323ABF" w:rsidRPr="00B92499" w14:paraId="4CCDE9CD" w14:textId="77777777" w:rsidTr="00EE3F6D">
        <w:trPr>
          <w:trHeight w:val="20"/>
          <w:tblHeader/>
        </w:trPr>
        <w:tc>
          <w:tcPr>
            <w:tcW w:w="8927"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7B884DE" w14:textId="6DDE949E"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323ABF" w:rsidRPr="00B92499" w14:paraId="74F8E062" w14:textId="77777777" w:rsidTr="00743C68">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128F3D4F"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1C2FBF64"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197" w:type="dxa"/>
            <w:tcBorders>
              <w:top w:val="nil"/>
              <w:left w:val="nil"/>
              <w:bottom w:val="single" w:sz="4" w:space="0" w:color="auto"/>
              <w:right w:val="single" w:sz="4" w:space="0" w:color="auto"/>
            </w:tcBorders>
            <w:shd w:val="clear" w:color="auto" w:fill="00B0F0"/>
            <w:vAlign w:val="center"/>
            <w:hideMark/>
          </w:tcPr>
          <w:p w14:paraId="6ECE21F0"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743C68" w:rsidRPr="00B92499" w14:paraId="09B906F2"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B0365F"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XLI</w:t>
            </w:r>
          </w:p>
        </w:tc>
        <w:tc>
          <w:tcPr>
            <w:tcW w:w="0" w:type="auto"/>
            <w:tcBorders>
              <w:top w:val="nil"/>
              <w:left w:val="nil"/>
              <w:bottom w:val="single" w:sz="4" w:space="0" w:color="auto"/>
              <w:right w:val="single" w:sz="4" w:space="0" w:color="auto"/>
            </w:tcBorders>
            <w:shd w:val="clear" w:color="auto" w:fill="auto"/>
            <w:vAlign w:val="center"/>
            <w:hideMark/>
          </w:tcPr>
          <w:p w14:paraId="1422ADE9" w14:textId="2529C05C"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Programas que ofrece el </w:t>
            </w:r>
            <w:r w:rsidR="008710F6" w:rsidRPr="00B92499">
              <w:rPr>
                <w:rFonts w:ascii="Arial" w:hAnsi="Arial" w:cs="Arial"/>
                <w:color w:val="000000"/>
                <w:sz w:val="20"/>
                <w:szCs w:val="20"/>
              </w:rPr>
              <w:t>sujeto obligado</w:t>
            </w:r>
            <w:r w:rsidRPr="00B92499">
              <w:rPr>
                <w:rFonts w:ascii="Arial" w:hAnsi="Arial" w:cs="Arial"/>
                <w:color w:val="000000"/>
                <w:sz w:val="20"/>
                <w:szCs w:val="20"/>
              </w:rPr>
              <w:t>, así como trámites, requisitos y formatos.</w:t>
            </w:r>
          </w:p>
        </w:tc>
        <w:tc>
          <w:tcPr>
            <w:tcW w:w="1197" w:type="dxa"/>
            <w:tcBorders>
              <w:top w:val="nil"/>
              <w:left w:val="nil"/>
              <w:bottom w:val="single" w:sz="4" w:space="0" w:color="auto"/>
              <w:right w:val="single" w:sz="4" w:space="0" w:color="auto"/>
            </w:tcBorders>
            <w:shd w:val="clear" w:color="auto" w:fill="auto"/>
            <w:vAlign w:val="center"/>
            <w:hideMark/>
          </w:tcPr>
          <w:p w14:paraId="11767D7E"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678937C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4C1FE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XLV</w:t>
            </w:r>
          </w:p>
        </w:tc>
        <w:tc>
          <w:tcPr>
            <w:tcW w:w="0" w:type="auto"/>
            <w:tcBorders>
              <w:top w:val="nil"/>
              <w:left w:val="nil"/>
              <w:bottom w:val="single" w:sz="4" w:space="0" w:color="auto"/>
              <w:right w:val="single" w:sz="4" w:space="0" w:color="auto"/>
            </w:tcBorders>
            <w:shd w:val="clear" w:color="auto" w:fill="auto"/>
            <w:vAlign w:val="center"/>
            <w:hideMark/>
          </w:tcPr>
          <w:p w14:paraId="7571687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1197" w:type="dxa"/>
            <w:tcBorders>
              <w:top w:val="nil"/>
              <w:left w:val="nil"/>
              <w:bottom w:val="single" w:sz="4" w:space="0" w:color="auto"/>
              <w:right w:val="single" w:sz="4" w:space="0" w:color="auto"/>
            </w:tcBorders>
            <w:shd w:val="clear" w:color="auto" w:fill="auto"/>
            <w:vAlign w:val="center"/>
            <w:hideMark/>
          </w:tcPr>
          <w:p w14:paraId="1AC08A60"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5040CB39"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2CA76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4A1EEE6A"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Lista con el importe con el concepto de viáticos.</w:t>
            </w:r>
          </w:p>
        </w:tc>
        <w:tc>
          <w:tcPr>
            <w:tcW w:w="1197" w:type="dxa"/>
            <w:tcBorders>
              <w:top w:val="nil"/>
              <w:left w:val="nil"/>
              <w:bottom w:val="single" w:sz="4" w:space="0" w:color="auto"/>
              <w:right w:val="single" w:sz="4" w:space="0" w:color="auto"/>
            </w:tcBorders>
            <w:shd w:val="clear" w:color="auto" w:fill="auto"/>
            <w:vAlign w:val="center"/>
            <w:hideMark/>
          </w:tcPr>
          <w:p w14:paraId="1FAD23BD"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0D45F6A6"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C12112"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6C1EA7CC"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Metas y objetivos de la Dirección conforme al POA.</w:t>
            </w:r>
          </w:p>
        </w:tc>
        <w:tc>
          <w:tcPr>
            <w:tcW w:w="1197" w:type="dxa"/>
            <w:tcBorders>
              <w:top w:val="nil"/>
              <w:left w:val="nil"/>
              <w:bottom w:val="single" w:sz="4" w:space="0" w:color="auto"/>
              <w:right w:val="single" w:sz="4" w:space="0" w:color="auto"/>
            </w:tcBorders>
            <w:shd w:val="clear" w:color="auto" w:fill="auto"/>
            <w:vAlign w:val="center"/>
            <w:hideMark/>
          </w:tcPr>
          <w:p w14:paraId="6F182B67"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6C0751A1"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3E4E4"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lastRenderedPageBreak/>
              <w:t>XXXV</w:t>
            </w:r>
          </w:p>
        </w:tc>
        <w:tc>
          <w:tcPr>
            <w:tcW w:w="0" w:type="auto"/>
            <w:tcBorders>
              <w:top w:val="nil"/>
              <w:left w:val="nil"/>
              <w:bottom w:val="single" w:sz="4" w:space="0" w:color="auto"/>
              <w:right w:val="single" w:sz="4" w:space="0" w:color="auto"/>
            </w:tcBorders>
            <w:shd w:val="clear" w:color="auto" w:fill="auto"/>
            <w:vAlign w:val="center"/>
            <w:hideMark/>
          </w:tcPr>
          <w:p w14:paraId="2640ED93"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Convenios de coordinación de concertación con los sectores sociales y privado.</w:t>
            </w:r>
          </w:p>
        </w:tc>
        <w:tc>
          <w:tcPr>
            <w:tcW w:w="1197" w:type="dxa"/>
            <w:tcBorders>
              <w:top w:val="nil"/>
              <w:left w:val="nil"/>
              <w:bottom w:val="single" w:sz="4" w:space="0" w:color="auto"/>
              <w:right w:val="single" w:sz="4" w:space="0" w:color="auto"/>
            </w:tcBorders>
            <w:shd w:val="clear" w:color="auto" w:fill="auto"/>
            <w:vAlign w:val="center"/>
            <w:hideMark/>
          </w:tcPr>
          <w:p w14:paraId="23E6E5B7"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EF0D5CC"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37782"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XLII</w:t>
            </w:r>
          </w:p>
        </w:tc>
        <w:tc>
          <w:tcPr>
            <w:tcW w:w="0" w:type="auto"/>
            <w:tcBorders>
              <w:top w:val="nil"/>
              <w:left w:val="nil"/>
              <w:bottom w:val="single" w:sz="4" w:space="0" w:color="auto"/>
              <w:right w:val="single" w:sz="4" w:space="0" w:color="auto"/>
            </w:tcBorders>
            <w:shd w:val="clear" w:color="auto" w:fill="auto"/>
            <w:vAlign w:val="center"/>
            <w:hideMark/>
          </w:tcPr>
          <w:p w14:paraId="1E9CB755" w14:textId="638D8E2B"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Información relacionada con los programas y centros destinados a la práctica de actividad física, ejer</w:t>
            </w:r>
            <w:r w:rsidR="00FF3679" w:rsidRPr="00B92499">
              <w:rPr>
                <w:rFonts w:ascii="Arial" w:hAnsi="Arial" w:cs="Arial"/>
                <w:color w:val="000000"/>
                <w:sz w:val="20"/>
                <w:szCs w:val="20"/>
              </w:rPr>
              <w:t>ci</w:t>
            </w:r>
            <w:r w:rsidRPr="00B92499">
              <w:rPr>
                <w:rFonts w:ascii="Arial" w:hAnsi="Arial" w:cs="Arial"/>
                <w:color w:val="000000"/>
                <w:sz w:val="20"/>
                <w:szCs w:val="20"/>
              </w:rPr>
              <w:t xml:space="preserve">cio y deporte. </w:t>
            </w:r>
          </w:p>
        </w:tc>
        <w:tc>
          <w:tcPr>
            <w:tcW w:w="1197" w:type="dxa"/>
            <w:tcBorders>
              <w:top w:val="nil"/>
              <w:left w:val="nil"/>
              <w:bottom w:val="single" w:sz="4" w:space="0" w:color="auto"/>
              <w:right w:val="single" w:sz="4" w:space="0" w:color="auto"/>
            </w:tcBorders>
            <w:shd w:val="clear" w:color="auto" w:fill="auto"/>
            <w:vAlign w:val="center"/>
            <w:hideMark/>
          </w:tcPr>
          <w:p w14:paraId="7D31EA27"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6EC167E9"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6E83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XLIV</w:t>
            </w:r>
          </w:p>
        </w:tc>
        <w:tc>
          <w:tcPr>
            <w:tcW w:w="0" w:type="auto"/>
            <w:tcBorders>
              <w:top w:val="nil"/>
              <w:left w:val="nil"/>
              <w:bottom w:val="single" w:sz="4" w:space="0" w:color="auto"/>
              <w:right w:val="single" w:sz="4" w:space="0" w:color="auto"/>
            </w:tcBorders>
            <w:shd w:val="clear" w:color="auto" w:fill="auto"/>
            <w:vAlign w:val="center"/>
            <w:hideMark/>
          </w:tcPr>
          <w:p w14:paraId="5347A8F3"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Evaluaciones y encuestas a programas financiados con recursos públicos. </w:t>
            </w:r>
          </w:p>
        </w:tc>
        <w:tc>
          <w:tcPr>
            <w:tcW w:w="1197" w:type="dxa"/>
            <w:tcBorders>
              <w:top w:val="nil"/>
              <w:left w:val="nil"/>
              <w:bottom w:val="single" w:sz="4" w:space="0" w:color="auto"/>
              <w:right w:val="single" w:sz="4" w:space="0" w:color="auto"/>
            </w:tcBorders>
            <w:shd w:val="clear" w:color="auto" w:fill="auto"/>
            <w:vAlign w:val="center"/>
            <w:hideMark/>
          </w:tcPr>
          <w:p w14:paraId="7F294EC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6821E7B4"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BC5AA5"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XLVI</w:t>
            </w:r>
          </w:p>
        </w:tc>
        <w:tc>
          <w:tcPr>
            <w:tcW w:w="0" w:type="auto"/>
            <w:tcBorders>
              <w:top w:val="nil"/>
              <w:left w:val="nil"/>
              <w:bottom w:val="single" w:sz="4" w:space="0" w:color="auto"/>
              <w:right w:val="single" w:sz="4" w:space="0" w:color="auto"/>
            </w:tcBorders>
            <w:shd w:val="clear" w:color="auto" w:fill="auto"/>
            <w:vAlign w:val="center"/>
            <w:hideMark/>
          </w:tcPr>
          <w:p w14:paraId="30EE2F4E"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Listado de jubilados y pensionados y monto que reciben.</w:t>
            </w:r>
          </w:p>
        </w:tc>
        <w:tc>
          <w:tcPr>
            <w:tcW w:w="1197" w:type="dxa"/>
            <w:tcBorders>
              <w:top w:val="nil"/>
              <w:left w:val="nil"/>
              <w:bottom w:val="single" w:sz="4" w:space="0" w:color="auto"/>
              <w:right w:val="single" w:sz="4" w:space="0" w:color="auto"/>
            </w:tcBorders>
            <w:shd w:val="clear" w:color="auto" w:fill="auto"/>
            <w:vAlign w:val="center"/>
            <w:hideMark/>
          </w:tcPr>
          <w:p w14:paraId="3C998220"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0640A4F"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C2DBA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XLVII</w:t>
            </w:r>
          </w:p>
        </w:tc>
        <w:tc>
          <w:tcPr>
            <w:tcW w:w="0" w:type="auto"/>
            <w:tcBorders>
              <w:top w:val="nil"/>
              <w:left w:val="nil"/>
              <w:bottom w:val="single" w:sz="4" w:space="0" w:color="auto"/>
              <w:right w:val="single" w:sz="4" w:space="0" w:color="auto"/>
            </w:tcBorders>
            <w:shd w:val="clear" w:color="auto" w:fill="auto"/>
            <w:vAlign w:val="center"/>
            <w:hideMark/>
          </w:tcPr>
          <w:p w14:paraId="09725C49"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Los ingresos recibidos por cualquier concepto.</w:t>
            </w:r>
          </w:p>
        </w:tc>
        <w:tc>
          <w:tcPr>
            <w:tcW w:w="1197" w:type="dxa"/>
            <w:tcBorders>
              <w:top w:val="nil"/>
              <w:left w:val="nil"/>
              <w:bottom w:val="single" w:sz="4" w:space="0" w:color="auto"/>
              <w:right w:val="single" w:sz="4" w:space="0" w:color="auto"/>
            </w:tcBorders>
            <w:shd w:val="clear" w:color="auto" w:fill="auto"/>
            <w:vAlign w:val="center"/>
            <w:hideMark/>
          </w:tcPr>
          <w:p w14:paraId="034B074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1805B35E"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EC63C6"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XLVIII</w:t>
            </w:r>
          </w:p>
        </w:tc>
        <w:tc>
          <w:tcPr>
            <w:tcW w:w="0" w:type="auto"/>
            <w:tcBorders>
              <w:top w:val="nil"/>
              <w:left w:val="nil"/>
              <w:bottom w:val="single" w:sz="4" w:space="0" w:color="auto"/>
              <w:right w:val="single" w:sz="4" w:space="0" w:color="auto"/>
            </w:tcBorders>
            <w:shd w:val="clear" w:color="auto" w:fill="auto"/>
            <w:vAlign w:val="center"/>
            <w:hideMark/>
          </w:tcPr>
          <w:p w14:paraId="2FBC831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Donaciones en dinero o especie hechas por terceros. </w:t>
            </w:r>
          </w:p>
        </w:tc>
        <w:tc>
          <w:tcPr>
            <w:tcW w:w="1197" w:type="dxa"/>
            <w:tcBorders>
              <w:top w:val="nil"/>
              <w:left w:val="nil"/>
              <w:bottom w:val="single" w:sz="4" w:space="0" w:color="auto"/>
              <w:right w:val="single" w:sz="4" w:space="0" w:color="auto"/>
            </w:tcBorders>
            <w:shd w:val="clear" w:color="auto" w:fill="auto"/>
            <w:vAlign w:val="center"/>
            <w:hideMark/>
          </w:tcPr>
          <w:p w14:paraId="6DFCD85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2F0FA4AA"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EE48E"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0F52F966"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El catálogo de disposición y guía de archivo documental. </w:t>
            </w:r>
          </w:p>
        </w:tc>
        <w:tc>
          <w:tcPr>
            <w:tcW w:w="1197" w:type="dxa"/>
            <w:tcBorders>
              <w:top w:val="nil"/>
              <w:left w:val="nil"/>
              <w:bottom w:val="single" w:sz="4" w:space="0" w:color="auto"/>
              <w:right w:val="single" w:sz="4" w:space="0" w:color="auto"/>
            </w:tcBorders>
            <w:shd w:val="clear" w:color="auto" w:fill="auto"/>
            <w:vAlign w:val="center"/>
            <w:hideMark/>
          </w:tcPr>
          <w:p w14:paraId="7D368169"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1DAF88E"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CC9A1"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LI</w:t>
            </w:r>
          </w:p>
        </w:tc>
        <w:tc>
          <w:tcPr>
            <w:tcW w:w="0" w:type="auto"/>
            <w:tcBorders>
              <w:top w:val="nil"/>
              <w:left w:val="nil"/>
              <w:bottom w:val="single" w:sz="4" w:space="0" w:color="auto"/>
              <w:right w:val="single" w:sz="4" w:space="0" w:color="auto"/>
            </w:tcBorders>
            <w:shd w:val="clear" w:color="auto" w:fill="auto"/>
            <w:vAlign w:val="center"/>
            <w:hideMark/>
          </w:tcPr>
          <w:p w14:paraId="7F3FDDFB"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Listado de solicitudes a las empresas concesionarias de telecomunicaciones y proveedores de servicios de internet para la intervención de comunicaciones y la geolocalización. </w:t>
            </w:r>
          </w:p>
        </w:tc>
        <w:tc>
          <w:tcPr>
            <w:tcW w:w="1197" w:type="dxa"/>
            <w:tcBorders>
              <w:top w:val="nil"/>
              <w:left w:val="nil"/>
              <w:bottom w:val="single" w:sz="4" w:space="0" w:color="auto"/>
              <w:right w:val="single" w:sz="4" w:space="0" w:color="auto"/>
            </w:tcBorders>
            <w:shd w:val="clear" w:color="auto" w:fill="auto"/>
            <w:vAlign w:val="center"/>
            <w:hideMark/>
          </w:tcPr>
          <w:p w14:paraId="5033E4BD"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42BCE9F5"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7E4DE1"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LIII</w:t>
            </w:r>
          </w:p>
        </w:tc>
        <w:tc>
          <w:tcPr>
            <w:tcW w:w="0" w:type="auto"/>
            <w:tcBorders>
              <w:top w:val="nil"/>
              <w:left w:val="nil"/>
              <w:bottom w:val="single" w:sz="4" w:space="0" w:color="auto"/>
              <w:right w:val="single" w:sz="4" w:space="0" w:color="auto"/>
            </w:tcBorders>
            <w:shd w:val="clear" w:color="auto" w:fill="auto"/>
            <w:vAlign w:val="center"/>
            <w:hideMark/>
          </w:tcPr>
          <w:p w14:paraId="207E98F7"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La ubicación de todas las obras públicas. </w:t>
            </w:r>
          </w:p>
        </w:tc>
        <w:tc>
          <w:tcPr>
            <w:tcW w:w="1197" w:type="dxa"/>
            <w:tcBorders>
              <w:top w:val="nil"/>
              <w:left w:val="nil"/>
              <w:bottom w:val="single" w:sz="4" w:space="0" w:color="auto"/>
              <w:right w:val="single" w:sz="4" w:space="0" w:color="auto"/>
            </w:tcBorders>
            <w:shd w:val="clear" w:color="auto" w:fill="auto"/>
            <w:vAlign w:val="center"/>
            <w:hideMark/>
          </w:tcPr>
          <w:p w14:paraId="33BF08A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2FA13143"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682150"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LIV</w:t>
            </w:r>
          </w:p>
        </w:tc>
        <w:tc>
          <w:tcPr>
            <w:tcW w:w="0" w:type="auto"/>
            <w:tcBorders>
              <w:top w:val="nil"/>
              <w:left w:val="nil"/>
              <w:bottom w:val="single" w:sz="4" w:space="0" w:color="auto"/>
              <w:right w:val="single" w:sz="4" w:space="0" w:color="auto"/>
            </w:tcBorders>
            <w:shd w:val="clear" w:color="auto" w:fill="auto"/>
            <w:vAlign w:val="center"/>
            <w:hideMark/>
          </w:tcPr>
          <w:p w14:paraId="09D2D494"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Personas beneficiadas, la temporalidad, los montos y todo aquello relacionado con el acto administrativo de los incentivos, condonaciones, reducciones fiscales, concesiones, permisos o licencias, entre otros actos. </w:t>
            </w:r>
          </w:p>
        </w:tc>
        <w:tc>
          <w:tcPr>
            <w:tcW w:w="1197" w:type="dxa"/>
            <w:tcBorders>
              <w:top w:val="nil"/>
              <w:left w:val="nil"/>
              <w:bottom w:val="single" w:sz="4" w:space="0" w:color="auto"/>
              <w:right w:val="single" w:sz="4" w:space="0" w:color="auto"/>
            </w:tcBorders>
            <w:shd w:val="clear" w:color="auto" w:fill="auto"/>
            <w:vAlign w:val="center"/>
            <w:hideMark/>
          </w:tcPr>
          <w:p w14:paraId="7831F56C"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2EBCB99"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EBA916"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4CC29159"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Metas y objetivos de la Dirección. </w:t>
            </w:r>
          </w:p>
        </w:tc>
        <w:tc>
          <w:tcPr>
            <w:tcW w:w="1197" w:type="dxa"/>
            <w:tcBorders>
              <w:top w:val="nil"/>
              <w:left w:val="nil"/>
              <w:bottom w:val="single" w:sz="4" w:space="0" w:color="auto"/>
              <w:right w:val="single" w:sz="4" w:space="0" w:color="auto"/>
            </w:tcBorders>
            <w:shd w:val="clear" w:color="auto" w:fill="auto"/>
            <w:vAlign w:val="center"/>
            <w:hideMark/>
          </w:tcPr>
          <w:p w14:paraId="5F4EF3CC"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5A9C5E6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E9B66"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0ECC8AC6"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Indicadores que permitan rendir cuentas.</w:t>
            </w:r>
          </w:p>
        </w:tc>
        <w:tc>
          <w:tcPr>
            <w:tcW w:w="1197" w:type="dxa"/>
            <w:tcBorders>
              <w:top w:val="nil"/>
              <w:left w:val="nil"/>
              <w:bottom w:val="single" w:sz="4" w:space="0" w:color="auto"/>
              <w:right w:val="single" w:sz="4" w:space="0" w:color="auto"/>
            </w:tcBorders>
            <w:shd w:val="clear" w:color="auto" w:fill="auto"/>
            <w:vAlign w:val="center"/>
            <w:hideMark/>
          </w:tcPr>
          <w:p w14:paraId="57F484ED"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01366AE5"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D6064"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36C7BC2A" w14:textId="2917C7DB"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Remuneraciones mensual</w:t>
            </w:r>
            <w:r w:rsidR="00490622" w:rsidRPr="00B92499">
              <w:rPr>
                <w:rFonts w:ascii="Arial" w:hAnsi="Arial" w:cs="Arial"/>
                <w:color w:val="000000"/>
                <w:sz w:val="20"/>
                <w:szCs w:val="20"/>
              </w:rPr>
              <w:t xml:space="preserve">, </w:t>
            </w:r>
            <w:r w:rsidRPr="00B92499">
              <w:rPr>
                <w:rFonts w:ascii="Arial" w:hAnsi="Arial" w:cs="Arial"/>
                <w:color w:val="000000"/>
                <w:sz w:val="20"/>
                <w:szCs w:val="20"/>
              </w:rPr>
              <w:t>bruta y neta</w:t>
            </w:r>
            <w:r w:rsidR="00FF3679"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278A56F3"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29E30AF4"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AF72AA"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28CEA253"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1197" w:type="dxa"/>
            <w:tcBorders>
              <w:top w:val="nil"/>
              <w:left w:val="nil"/>
              <w:bottom w:val="single" w:sz="4" w:space="0" w:color="auto"/>
              <w:right w:val="single" w:sz="4" w:space="0" w:color="auto"/>
            </w:tcBorders>
            <w:shd w:val="clear" w:color="auto" w:fill="auto"/>
            <w:vAlign w:val="center"/>
            <w:hideMark/>
          </w:tcPr>
          <w:p w14:paraId="1A3622D5"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65CC21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7EC01"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4495846B"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Información curricular y perfil de puestos.</w:t>
            </w:r>
          </w:p>
        </w:tc>
        <w:tc>
          <w:tcPr>
            <w:tcW w:w="1197" w:type="dxa"/>
            <w:tcBorders>
              <w:top w:val="nil"/>
              <w:left w:val="nil"/>
              <w:bottom w:val="single" w:sz="4" w:space="0" w:color="auto"/>
              <w:right w:val="single" w:sz="4" w:space="0" w:color="auto"/>
            </w:tcBorders>
            <w:shd w:val="clear" w:color="auto" w:fill="auto"/>
            <w:vAlign w:val="center"/>
            <w:hideMark/>
          </w:tcPr>
          <w:p w14:paraId="3705D8D9"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377DD48A"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8DD9B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5FE6561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1197" w:type="dxa"/>
            <w:tcBorders>
              <w:top w:val="nil"/>
              <w:left w:val="nil"/>
              <w:bottom w:val="single" w:sz="4" w:space="0" w:color="auto"/>
              <w:right w:val="single" w:sz="4" w:space="0" w:color="auto"/>
            </w:tcBorders>
            <w:shd w:val="clear" w:color="auto" w:fill="auto"/>
            <w:vAlign w:val="center"/>
            <w:hideMark/>
          </w:tcPr>
          <w:p w14:paraId="22808512"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8A7AC37"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4F732B"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10022BF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Información relativa a la cuenta y deuda públicas.</w:t>
            </w:r>
          </w:p>
        </w:tc>
        <w:tc>
          <w:tcPr>
            <w:tcW w:w="1197" w:type="dxa"/>
            <w:tcBorders>
              <w:top w:val="nil"/>
              <w:left w:val="nil"/>
              <w:bottom w:val="single" w:sz="4" w:space="0" w:color="auto"/>
              <w:right w:val="single" w:sz="4" w:space="0" w:color="auto"/>
            </w:tcBorders>
            <w:shd w:val="clear" w:color="auto" w:fill="auto"/>
            <w:vAlign w:val="center"/>
            <w:hideMark/>
          </w:tcPr>
          <w:p w14:paraId="3E5C5EA5"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38909715"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86B6B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721D34C4" w14:textId="366AFC58"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Informes de resultados de </w:t>
            </w:r>
            <w:r w:rsidR="00C7683E" w:rsidRPr="00B92499">
              <w:rPr>
                <w:rFonts w:ascii="Arial" w:hAnsi="Arial" w:cs="Arial"/>
                <w:color w:val="000000"/>
                <w:sz w:val="20"/>
                <w:szCs w:val="20"/>
              </w:rPr>
              <w:t>auditorías</w:t>
            </w:r>
            <w:r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657E47AD"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6435A1F3"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00D54D"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2103A831"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1197" w:type="dxa"/>
            <w:tcBorders>
              <w:top w:val="nil"/>
              <w:left w:val="nil"/>
              <w:bottom w:val="single" w:sz="4" w:space="0" w:color="auto"/>
              <w:right w:val="single" w:sz="4" w:space="0" w:color="auto"/>
            </w:tcBorders>
            <w:shd w:val="clear" w:color="auto" w:fill="auto"/>
            <w:vAlign w:val="center"/>
            <w:hideMark/>
          </w:tcPr>
          <w:p w14:paraId="245822A4"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4C36656D"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92E634"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36964D8E"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Informe de avances programáticos o presupuestales. </w:t>
            </w:r>
          </w:p>
        </w:tc>
        <w:tc>
          <w:tcPr>
            <w:tcW w:w="1197" w:type="dxa"/>
            <w:tcBorders>
              <w:top w:val="nil"/>
              <w:left w:val="nil"/>
              <w:bottom w:val="single" w:sz="4" w:space="0" w:color="auto"/>
              <w:right w:val="single" w:sz="4" w:space="0" w:color="auto"/>
            </w:tcBorders>
            <w:shd w:val="clear" w:color="auto" w:fill="auto"/>
            <w:vAlign w:val="center"/>
            <w:hideMark/>
          </w:tcPr>
          <w:p w14:paraId="3F2A1362"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5047E6B5"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DDE3BB"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XXXIX</w:t>
            </w:r>
          </w:p>
        </w:tc>
        <w:tc>
          <w:tcPr>
            <w:tcW w:w="0" w:type="auto"/>
            <w:tcBorders>
              <w:top w:val="nil"/>
              <w:left w:val="nil"/>
              <w:bottom w:val="single" w:sz="4" w:space="0" w:color="auto"/>
              <w:right w:val="single" w:sz="4" w:space="0" w:color="auto"/>
            </w:tcBorders>
            <w:shd w:val="clear" w:color="auto" w:fill="auto"/>
            <w:vAlign w:val="center"/>
            <w:hideMark/>
          </w:tcPr>
          <w:p w14:paraId="247674AC"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Resoluciones y laudos que se emitan en procesos seguidos en forma de juicio.</w:t>
            </w:r>
          </w:p>
        </w:tc>
        <w:tc>
          <w:tcPr>
            <w:tcW w:w="1197" w:type="dxa"/>
            <w:tcBorders>
              <w:top w:val="nil"/>
              <w:left w:val="nil"/>
              <w:bottom w:val="single" w:sz="4" w:space="0" w:color="auto"/>
              <w:right w:val="single" w:sz="4" w:space="0" w:color="auto"/>
            </w:tcBorders>
            <w:shd w:val="clear" w:color="auto" w:fill="auto"/>
            <w:vAlign w:val="center"/>
            <w:hideMark/>
          </w:tcPr>
          <w:p w14:paraId="6F66A7F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141D9EF4"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6A9E5E"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w:t>
            </w:r>
          </w:p>
        </w:tc>
        <w:tc>
          <w:tcPr>
            <w:tcW w:w="0" w:type="auto"/>
            <w:tcBorders>
              <w:top w:val="nil"/>
              <w:left w:val="nil"/>
              <w:bottom w:val="single" w:sz="4" w:space="0" w:color="auto"/>
              <w:right w:val="single" w:sz="4" w:space="0" w:color="auto"/>
            </w:tcBorders>
            <w:shd w:val="clear" w:color="auto" w:fill="auto"/>
            <w:vAlign w:val="center"/>
            <w:hideMark/>
          </w:tcPr>
          <w:p w14:paraId="224A7C94"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Mecanismos de participación ciudadana.</w:t>
            </w:r>
          </w:p>
        </w:tc>
        <w:tc>
          <w:tcPr>
            <w:tcW w:w="1197" w:type="dxa"/>
            <w:tcBorders>
              <w:top w:val="nil"/>
              <w:left w:val="nil"/>
              <w:bottom w:val="single" w:sz="4" w:space="0" w:color="auto"/>
              <w:right w:val="single" w:sz="4" w:space="0" w:color="auto"/>
            </w:tcBorders>
            <w:shd w:val="clear" w:color="auto" w:fill="auto"/>
            <w:vAlign w:val="center"/>
            <w:hideMark/>
          </w:tcPr>
          <w:p w14:paraId="1E99FA22"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5EEF134F"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67BDBF"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59E730B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1197" w:type="dxa"/>
            <w:tcBorders>
              <w:top w:val="nil"/>
              <w:left w:val="nil"/>
              <w:bottom w:val="single" w:sz="4" w:space="0" w:color="auto"/>
              <w:right w:val="single" w:sz="4" w:space="0" w:color="auto"/>
            </w:tcBorders>
            <w:shd w:val="clear" w:color="auto" w:fill="auto"/>
            <w:vAlign w:val="center"/>
            <w:hideMark/>
          </w:tcPr>
          <w:p w14:paraId="1543A3C9"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09FB5DB9"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C4ADDF"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L</w:t>
            </w:r>
          </w:p>
        </w:tc>
        <w:tc>
          <w:tcPr>
            <w:tcW w:w="0" w:type="auto"/>
            <w:tcBorders>
              <w:top w:val="nil"/>
              <w:left w:val="nil"/>
              <w:bottom w:val="single" w:sz="4" w:space="0" w:color="auto"/>
              <w:right w:val="single" w:sz="4" w:space="0" w:color="auto"/>
            </w:tcBorders>
            <w:shd w:val="clear" w:color="auto" w:fill="auto"/>
            <w:vAlign w:val="center"/>
            <w:hideMark/>
          </w:tcPr>
          <w:p w14:paraId="584EF444"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La calendarización, minutas y actas de las reuniones públicas de los consejos, colegiados, gabinetes, sesiones plenarias, comités, comisiones y sesiones de trabajo. </w:t>
            </w:r>
          </w:p>
        </w:tc>
        <w:tc>
          <w:tcPr>
            <w:tcW w:w="1197" w:type="dxa"/>
            <w:tcBorders>
              <w:top w:val="nil"/>
              <w:left w:val="nil"/>
              <w:bottom w:val="single" w:sz="4" w:space="0" w:color="auto"/>
              <w:right w:val="single" w:sz="4" w:space="0" w:color="auto"/>
            </w:tcBorders>
            <w:shd w:val="clear" w:color="auto" w:fill="auto"/>
            <w:vAlign w:val="center"/>
            <w:hideMark/>
          </w:tcPr>
          <w:p w14:paraId="67FDADA4"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78137CCF"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474053"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477B79E2"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Inventario de bienes muebles.</w:t>
            </w:r>
          </w:p>
        </w:tc>
        <w:tc>
          <w:tcPr>
            <w:tcW w:w="1197" w:type="dxa"/>
            <w:tcBorders>
              <w:top w:val="nil"/>
              <w:left w:val="nil"/>
              <w:bottom w:val="single" w:sz="4" w:space="0" w:color="auto"/>
              <w:right w:val="single" w:sz="4" w:space="0" w:color="auto"/>
            </w:tcBorders>
            <w:shd w:val="clear" w:color="auto" w:fill="auto"/>
            <w:vAlign w:val="center"/>
            <w:hideMark/>
          </w:tcPr>
          <w:p w14:paraId="66FFA2C0"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100</w:t>
            </w:r>
          </w:p>
        </w:tc>
      </w:tr>
      <w:tr w:rsidR="00743C68" w:rsidRPr="00B92499" w14:paraId="2FD0EABC"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A801F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2E6048CF"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Resultados de procedimiento de adjudicación directa, invitación restringida y licitación. </w:t>
            </w:r>
          </w:p>
        </w:tc>
        <w:tc>
          <w:tcPr>
            <w:tcW w:w="1197" w:type="dxa"/>
            <w:tcBorders>
              <w:top w:val="nil"/>
              <w:left w:val="nil"/>
              <w:bottom w:val="single" w:sz="4" w:space="0" w:color="auto"/>
              <w:right w:val="single" w:sz="4" w:space="0" w:color="auto"/>
            </w:tcBorders>
            <w:shd w:val="clear" w:color="auto" w:fill="auto"/>
            <w:vAlign w:val="center"/>
            <w:hideMark/>
          </w:tcPr>
          <w:p w14:paraId="3ED5EC24" w14:textId="18E1CEEC" w:rsidR="00743C68" w:rsidRPr="00B92499" w:rsidRDefault="00743C68" w:rsidP="008A4CDF">
            <w:pPr>
              <w:jc w:val="center"/>
              <w:rPr>
                <w:rFonts w:ascii="Arial" w:hAnsi="Arial" w:cs="Arial"/>
                <w:color w:val="000000"/>
                <w:sz w:val="20"/>
                <w:szCs w:val="20"/>
              </w:rPr>
            </w:pPr>
            <w:r w:rsidRPr="00B92499">
              <w:rPr>
                <w:rFonts w:ascii="Arial" w:hAnsi="Arial" w:cs="Arial"/>
                <w:color w:val="000000"/>
                <w:sz w:val="20"/>
                <w:szCs w:val="20"/>
              </w:rPr>
              <w:t>99.4</w:t>
            </w:r>
            <w:r w:rsidR="008A4CDF" w:rsidRPr="00B92499">
              <w:rPr>
                <w:rFonts w:ascii="Arial" w:hAnsi="Arial" w:cs="Arial"/>
                <w:color w:val="000000"/>
                <w:sz w:val="20"/>
                <w:szCs w:val="20"/>
              </w:rPr>
              <w:t>1</w:t>
            </w:r>
          </w:p>
        </w:tc>
      </w:tr>
      <w:tr w:rsidR="00743C68" w:rsidRPr="00B92499" w14:paraId="0212DDCD"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9F6F9"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6B14B60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Declaraciones 3de3.</w:t>
            </w:r>
          </w:p>
        </w:tc>
        <w:tc>
          <w:tcPr>
            <w:tcW w:w="1197" w:type="dxa"/>
            <w:tcBorders>
              <w:top w:val="nil"/>
              <w:left w:val="nil"/>
              <w:bottom w:val="single" w:sz="4" w:space="0" w:color="auto"/>
              <w:right w:val="single" w:sz="4" w:space="0" w:color="auto"/>
            </w:tcBorders>
            <w:shd w:val="clear" w:color="auto" w:fill="auto"/>
            <w:vAlign w:val="center"/>
            <w:hideMark/>
          </w:tcPr>
          <w:p w14:paraId="14970E78" w14:textId="0FB9858D" w:rsidR="00743C68" w:rsidRPr="00B92499" w:rsidRDefault="00743C68" w:rsidP="008A4CDF">
            <w:pPr>
              <w:jc w:val="center"/>
              <w:rPr>
                <w:rFonts w:ascii="Arial" w:hAnsi="Arial" w:cs="Arial"/>
                <w:color w:val="000000"/>
                <w:sz w:val="20"/>
                <w:szCs w:val="20"/>
              </w:rPr>
            </w:pPr>
            <w:r w:rsidRPr="00B92499">
              <w:rPr>
                <w:rFonts w:ascii="Arial" w:hAnsi="Arial" w:cs="Arial"/>
                <w:color w:val="000000"/>
                <w:sz w:val="20"/>
                <w:szCs w:val="20"/>
              </w:rPr>
              <w:t>99.3</w:t>
            </w:r>
            <w:r w:rsidR="008A4CDF" w:rsidRPr="00B92499">
              <w:rPr>
                <w:rFonts w:ascii="Arial" w:hAnsi="Arial" w:cs="Arial"/>
                <w:color w:val="000000"/>
                <w:sz w:val="20"/>
                <w:szCs w:val="20"/>
              </w:rPr>
              <w:t>1</w:t>
            </w:r>
          </w:p>
        </w:tc>
      </w:tr>
      <w:tr w:rsidR="00743C68" w:rsidRPr="00B92499" w14:paraId="48F98875"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D3AA89"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5B4211ED"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Trámites que ofrecen y requisitos.</w:t>
            </w:r>
          </w:p>
        </w:tc>
        <w:tc>
          <w:tcPr>
            <w:tcW w:w="1197" w:type="dxa"/>
            <w:tcBorders>
              <w:top w:val="nil"/>
              <w:left w:val="nil"/>
              <w:bottom w:val="single" w:sz="4" w:space="0" w:color="auto"/>
              <w:right w:val="single" w:sz="4" w:space="0" w:color="auto"/>
            </w:tcBorders>
            <w:shd w:val="clear" w:color="auto" w:fill="auto"/>
            <w:vAlign w:val="center"/>
            <w:hideMark/>
          </w:tcPr>
          <w:p w14:paraId="10B69EDF" w14:textId="5B451BCE" w:rsidR="00743C68" w:rsidRPr="00B92499" w:rsidRDefault="00743C68" w:rsidP="008A4CDF">
            <w:pPr>
              <w:jc w:val="center"/>
              <w:rPr>
                <w:rFonts w:ascii="Arial" w:hAnsi="Arial" w:cs="Arial"/>
                <w:color w:val="000000"/>
                <w:sz w:val="20"/>
                <w:szCs w:val="20"/>
              </w:rPr>
            </w:pPr>
            <w:r w:rsidRPr="00B92499">
              <w:rPr>
                <w:rFonts w:ascii="Arial" w:hAnsi="Arial" w:cs="Arial"/>
                <w:color w:val="000000"/>
                <w:sz w:val="20"/>
                <w:szCs w:val="20"/>
              </w:rPr>
              <w:t>98.91</w:t>
            </w:r>
          </w:p>
        </w:tc>
      </w:tr>
      <w:tr w:rsidR="00743C68" w:rsidRPr="00B92499" w14:paraId="7DC45A6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F4DA3B"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7764C838"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La información financiera sobre el presupuesto asignado.</w:t>
            </w:r>
          </w:p>
        </w:tc>
        <w:tc>
          <w:tcPr>
            <w:tcW w:w="1197" w:type="dxa"/>
            <w:tcBorders>
              <w:top w:val="nil"/>
              <w:left w:val="nil"/>
              <w:bottom w:val="single" w:sz="4" w:space="0" w:color="auto"/>
              <w:right w:val="single" w:sz="4" w:space="0" w:color="auto"/>
            </w:tcBorders>
            <w:shd w:val="clear" w:color="auto" w:fill="auto"/>
            <w:vAlign w:val="center"/>
            <w:hideMark/>
          </w:tcPr>
          <w:p w14:paraId="706214C9" w14:textId="4F32B3D9" w:rsidR="00743C68" w:rsidRPr="00B92499" w:rsidRDefault="00743C68" w:rsidP="008A4CDF">
            <w:pPr>
              <w:jc w:val="center"/>
              <w:rPr>
                <w:rFonts w:ascii="Arial" w:hAnsi="Arial" w:cs="Arial"/>
                <w:color w:val="000000"/>
                <w:sz w:val="20"/>
                <w:szCs w:val="20"/>
              </w:rPr>
            </w:pPr>
            <w:r w:rsidRPr="00B92499">
              <w:rPr>
                <w:rFonts w:ascii="Arial" w:hAnsi="Arial" w:cs="Arial"/>
                <w:color w:val="000000"/>
                <w:sz w:val="20"/>
                <w:szCs w:val="20"/>
              </w:rPr>
              <w:t>98.8</w:t>
            </w:r>
            <w:r w:rsidR="008A4CDF" w:rsidRPr="00B92499">
              <w:rPr>
                <w:rFonts w:ascii="Arial" w:hAnsi="Arial" w:cs="Arial"/>
                <w:color w:val="000000"/>
                <w:sz w:val="20"/>
                <w:szCs w:val="20"/>
              </w:rPr>
              <w:t>1</w:t>
            </w:r>
          </w:p>
        </w:tc>
      </w:tr>
      <w:tr w:rsidR="00743C68" w:rsidRPr="00B92499" w14:paraId="10A793A9"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CC22B6"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625C9A79"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Padrón de proveedores y contratistas. </w:t>
            </w:r>
          </w:p>
        </w:tc>
        <w:tc>
          <w:tcPr>
            <w:tcW w:w="1197" w:type="dxa"/>
            <w:tcBorders>
              <w:top w:val="nil"/>
              <w:left w:val="nil"/>
              <w:bottom w:val="single" w:sz="4" w:space="0" w:color="auto"/>
              <w:right w:val="single" w:sz="4" w:space="0" w:color="auto"/>
            </w:tcBorders>
            <w:shd w:val="clear" w:color="auto" w:fill="auto"/>
            <w:vAlign w:val="center"/>
            <w:hideMark/>
          </w:tcPr>
          <w:p w14:paraId="159F05A0"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98.75</w:t>
            </w:r>
          </w:p>
        </w:tc>
      </w:tr>
      <w:tr w:rsidR="00743C68" w:rsidRPr="00B92499" w14:paraId="73CF071C"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D8674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13FEE111"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Montos, criterios, convocatoria y convocatorias de personas físicas y morales que reciban recursos públicos o realicen actos de autoridad. </w:t>
            </w:r>
          </w:p>
        </w:tc>
        <w:tc>
          <w:tcPr>
            <w:tcW w:w="1197" w:type="dxa"/>
            <w:tcBorders>
              <w:top w:val="nil"/>
              <w:left w:val="nil"/>
              <w:bottom w:val="single" w:sz="4" w:space="0" w:color="auto"/>
              <w:right w:val="single" w:sz="4" w:space="0" w:color="auto"/>
            </w:tcBorders>
            <w:shd w:val="clear" w:color="auto" w:fill="auto"/>
            <w:vAlign w:val="center"/>
            <w:hideMark/>
          </w:tcPr>
          <w:p w14:paraId="340D0D96" w14:textId="07811257" w:rsidR="00743C68" w:rsidRPr="00B92499" w:rsidRDefault="00743C68" w:rsidP="008A4CDF">
            <w:pPr>
              <w:jc w:val="center"/>
              <w:rPr>
                <w:rFonts w:ascii="Arial" w:hAnsi="Arial" w:cs="Arial"/>
                <w:color w:val="000000"/>
                <w:sz w:val="20"/>
                <w:szCs w:val="20"/>
              </w:rPr>
            </w:pPr>
            <w:r w:rsidRPr="00B92499">
              <w:rPr>
                <w:rFonts w:ascii="Arial" w:hAnsi="Arial" w:cs="Arial"/>
                <w:color w:val="000000"/>
                <w:sz w:val="20"/>
                <w:szCs w:val="20"/>
              </w:rPr>
              <w:t>98.5</w:t>
            </w:r>
            <w:r w:rsidR="008A4CDF" w:rsidRPr="00B92499">
              <w:rPr>
                <w:rFonts w:ascii="Arial" w:hAnsi="Arial" w:cs="Arial"/>
                <w:color w:val="000000"/>
                <w:sz w:val="20"/>
                <w:szCs w:val="20"/>
              </w:rPr>
              <w:t>3</w:t>
            </w:r>
          </w:p>
        </w:tc>
      </w:tr>
      <w:tr w:rsidR="00743C68" w:rsidRPr="00B92499" w14:paraId="0FFBFA82"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50B24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7AD470C2" w14:textId="259274A3"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Informes que debe de 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p>
        </w:tc>
        <w:tc>
          <w:tcPr>
            <w:tcW w:w="1197" w:type="dxa"/>
            <w:tcBorders>
              <w:top w:val="nil"/>
              <w:left w:val="nil"/>
              <w:bottom w:val="single" w:sz="4" w:space="0" w:color="auto"/>
              <w:right w:val="single" w:sz="4" w:space="0" w:color="auto"/>
            </w:tcBorders>
            <w:shd w:val="clear" w:color="auto" w:fill="auto"/>
            <w:vAlign w:val="center"/>
            <w:hideMark/>
          </w:tcPr>
          <w:p w14:paraId="42F6C54D" w14:textId="25885CEB"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98.4</w:t>
            </w:r>
            <w:r w:rsidR="00316565" w:rsidRPr="00B92499">
              <w:rPr>
                <w:rFonts w:ascii="Arial" w:hAnsi="Arial" w:cs="Arial"/>
                <w:color w:val="000000"/>
                <w:sz w:val="20"/>
                <w:szCs w:val="20"/>
              </w:rPr>
              <w:t>4</w:t>
            </w:r>
          </w:p>
        </w:tc>
      </w:tr>
      <w:tr w:rsidR="00743C68" w:rsidRPr="00B92499" w14:paraId="0646CC8F"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C6176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5A7CC3E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Número tal de plazas y tipos.</w:t>
            </w:r>
          </w:p>
        </w:tc>
        <w:tc>
          <w:tcPr>
            <w:tcW w:w="1197" w:type="dxa"/>
            <w:tcBorders>
              <w:top w:val="nil"/>
              <w:left w:val="nil"/>
              <w:bottom w:val="single" w:sz="4" w:space="0" w:color="auto"/>
              <w:right w:val="single" w:sz="4" w:space="0" w:color="auto"/>
            </w:tcBorders>
            <w:shd w:val="clear" w:color="auto" w:fill="auto"/>
            <w:vAlign w:val="center"/>
            <w:hideMark/>
          </w:tcPr>
          <w:p w14:paraId="7F735312" w14:textId="7B616215"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98.21</w:t>
            </w:r>
          </w:p>
        </w:tc>
      </w:tr>
      <w:tr w:rsidR="00743C68" w:rsidRPr="00B92499" w14:paraId="1D3FC427"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22368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6C92DC2A"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Programas Operativos Anuales y de trabajo.</w:t>
            </w:r>
          </w:p>
        </w:tc>
        <w:tc>
          <w:tcPr>
            <w:tcW w:w="1197" w:type="dxa"/>
            <w:tcBorders>
              <w:top w:val="nil"/>
              <w:left w:val="nil"/>
              <w:bottom w:val="single" w:sz="4" w:space="0" w:color="auto"/>
              <w:right w:val="single" w:sz="4" w:space="0" w:color="auto"/>
            </w:tcBorders>
            <w:shd w:val="clear" w:color="auto" w:fill="auto"/>
            <w:vAlign w:val="center"/>
            <w:hideMark/>
          </w:tcPr>
          <w:p w14:paraId="59153283" w14:textId="61FCC11A"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98.21</w:t>
            </w:r>
          </w:p>
        </w:tc>
      </w:tr>
      <w:tr w:rsidR="00743C68" w:rsidRPr="00B92499" w14:paraId="6F328CF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54C99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79C73D69"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Servicios profesionales y honorarios.</w:t>
            </w:r>
          </w:p>
        </w:tc>
        <w:tc>
          <w:tcPr>
            <w:tcW w:w="1197" w:type="dxa"/>
            <w:tcBorders>
              <w:top w:val="nil"/>
              <w:left w:val="nil"/>
              <w:bottom w:val="single" w:sz="4" w:space="0" w:color="auto"/>
              <w:right w:val="single" w:sz="4" w:space="0" w:color="auto"/>
            </w:tcBorders>
            <w:shd w:val="clear" w:color="auto" w:fill="auto"/>
            <w:vAlign w:val="center"/>
            <w:hideMark/>
          </w:tcPr>
          <w:p w14:paraId="6B8BD9E1" w14:textId="6A256834"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97.7</w:t>
            </w:r>
            <w:r w:rsidR="00316565" w:rsidRPr="00B92499">
              <w:rPr>
                <w:rFonts w:ascii="Arial" w:hAnsi="Arial" w:cs="Arial"/>
                <w:color w:val="000000"/>
                <w:sz w:val="20"/>
                <w:szCs w:val="20"/>
              </w:rPr>
              <w:t>7</w:t>
            </w:r>
          </w:p>
        </w:tc>
      </w:tr>
      <w:tr w:rsidR="00743C68" w:rsidRPr="00B92499" w14:paraId="5F811C02"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5CB4D"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XXXVII</w:t>
            </w:r>
          </w:p>
        </w:tc>
        <w:tc>
          <w:tcPr>
            <w:tcW w:w="0" w:type="auto"/>
            <w:tcBorders>
              <w:top w:val="nil"/>
              <w:left w:val="nil"/>
              <w:bottom w:val="single" w:sz="4" w:space="0" w:color="auto"/>
              <w:right w:val="single" w:sz="4" w:space="0" w:color="auto"/>
            </w:tcBorders>
            <w:shd w:val="clear" w:color="auto" w:fill="auto"/>
            <w:vAlign w:val="center"/>
            <w:hideMark/>
          </w:tcPr>
          <w:p w14:paraId="5365030B" w14:textId="2B4C0F31"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al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la CDHCDMX.</w:t>
            </w:r>
          </w:p>
        </w:tc>
        <w:tc>
          <w:tcPr>
            <w:tcW w:w="1197" w:type="dxa"/>
            <w:tcBorders>
              <w:top w:val="nil"/>
              <w:left w:val="nil"/>
              <w:bottom w:val="single" w:sz="4" w:space="0" w:color="auto"/>
              <w:right w:val="single" w:sz="4" w:space="0" w:color="auto"/>
            </w:tcBorders>
            <w:shd w:val="clear" w:color="auto" w:fill="auto"/>
            <w:vAlign w:val="center"/>
            <w:hideMark/>
          </w:tcPr>
          <w:p w14:paraId="65328E11" w14:textId="381B8695"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97.46</w:t>
            </w:r>
          </w:p>
        </w:tc>
      </w:tr>
      <w:tr w:rsidR="00743C68" w:rsidRPr="00B92499" w14:paraId="6ECEE486"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1C5FE6"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1697FF55"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Cualquier otra información que sea de utilidad o se considere relevante. </w:t>
            </w:r>
          </w:p>
        </w:tc>
        <w:tc>
          <w:tcPr>
            <w:tcW w:w="1197" w:type="dxa"/>
            <w:tcBorders>
              <w:top w:val="nil"/>
              <w:left w:val="nil"/>
              <w:bottom w:val="single" w:sz="4" w:space="0" w:color="auto"/>
              <w:right w:val="single" w:sz="4" w:space="0" w:color="auto"/>
            </w:tcBorders>
            <w:shd w:val="clear" w:color="auto" w:fill="auto"/>
            <w:vAlign w:val="center"/>
            <w:hideMark/>
          </w:tcPr>
          <w:p w14:paraId="602B0E42" w14:textId="2FA18935"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97.</w:t>
            </w:r>
            <w:r w:rsidR="00316565" w:rsidRPr="00B92499">
              <w:rPr>
                <w:rFonts w:ascii="Arial" w:hAnsi="Arial" w:cs="Arial"/>
                <w:color w:val="000000"/>
                <w:sz w:val="20"/>
                <w:szCs w:val="20"/>
              </w:rPr>
              <w:t>40</w:t>
            </w:r>
          </w:p>
        </w:tc>
      </w:tr>
      <w:tr w:rsidR="00743C68" w:rsidRPr="00B92499" w14:paraId="7D6A5880"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21CDC3"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35DF66AA"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Indicadores de temas de interés público.</w:t>
            </w:r>
          </w:p>
        </w:tc>
        <w:tc>
          <w:tcPr>
            <w:tcW w:w="1197" w:type="dxa"/>
            <w:tcBorders>
              <w:top w:val="nil"/>
              <w:left w:val="nil"/>
              <w:bottom w:val="single" w:sz="4" w:space="0" w:color="auto"/>
              <w:right w:val="single" w:sz="4" w:space="0" w:color="auto"/>
            </w:tcBorders>
            <w:shd w:val="clear" w:color="auto" w:fill="auto"/>
            <w:vAlign w:val="center"/>
            <w:hideMark/>
          </w:tcPr>
          <w:p w14:paraId="567263C5" w14:textId="66831CD9"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96.6</w:t>
            </w:r>
            <w:r w:rsidR="00316565" w:rsidRPr="00B92499">
              <w:rPr>
                <w:rFonts w:ascii="Arial" w:hAnsi="Arial" w:cs="Arial"/>
                <w:color w:val="000000"/>
                <w:sz w:val="20"/>
                <w:szCs w:val="20"/>
              </w:rPr>
              <w:t>7</w:t>
            </w:r>
          </w:p>
        </w:tc>
      </w:tr>
      <w:tr w:rsidR="00743C68" w:rsidRPr="00B92499" w14:paraId="240FF397"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D221D4"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5F68C19E"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1197" w:type="dxa"/>
            <w:tcBorders>
              <w:top w:val="nil"/>
              <w:left w:val="nil"/>
              <w:bottom w:val="single" w:sz="4" w:space="0" w:color="auto"/>
              <w:right w:val="single" w:sz="4" w:space="0" w:color="auto"/>
            </w:tcBorders>
            <w:shd w:val="clear" w:color="auto" w:fill="auto"/>
            <w:vAlign w:val="center"/>
            <w:hideMark/>
          </w:tcPr>
          <w:p w14:paraId="50D8B120" w14:textId="4EF68BCB"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96.44</w:t>
            </w:r>
          </w:p>
        </w:tc>
      </w:tr>
      <w:tr w:rsidR="00743C68" w:rsidRPr="00B92499" w14:paraId="11B3C163"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00AEF7"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1C44FBAB"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Directorio del área.</w:t>
            </w:r>
          </w:p>
        </w:tc>
        <w:tc>
          <w:tcPr>
            <w:tcW w:w="1197" w:type="dxa"/>
            <w:tcBorders>
              <w:top w:val="nil"/>
              <w:left w:val="nil"/>
              <w:bottom w:val="single" w:sz="4" w:space="0" w:color="auto"/>
              <w:right w:val="single" w:sz="4" w:space="0" w:color="auto"/>
            </w:tcBorders>
            <w:shd w:val="clear" w:color="auto" w:fill="auto"/>
            <w:vAlign w:val="center"/>
            <w:hideMark/>
          </w:tcPr>
          <w:p w14:paraId="1D77A2F8" w14:textId="635DD837"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96.35</w:t>
            </w:r>
          </w:p>
        </w:tc>
      </w:tr>
      <w:tr w:rsidR="00743C68" w:rsidRPr="00B92499" w14:paraId="3277203C"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0EBCC5"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lastRenderedPageBreak/>
              <w:t>XVI</w:t>
            </w:r>
          </w:p>
        </w:tc>
        <w:tc>
          <w:tcPr>
            <w:tcW w:w="0" w:type="auto"/>
            <w:tcBorders>
              <w:top w:val="nil"/>
              <w:left w:val="nil"/>
              <w:bottom w:val="single" w:sz="4" w:space="0" w:color="auto"/>
              <w:right w:val="single" w:sz="4" w:space="0" w:color="auto"/>
            </w:tcBorders>
            <w:shd w:val="clear" w:color="auto" w:fill="auto"/>
            <w:vAlign w:val="center"/>
            <w:hideMark/>
          </w:tcPr>
          <w:p w14:paraId="286CA82F"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Condiciones generales de trabajo, contratos y convenios que regulen la relación laboral, recursos otorgados a sindicatos.</w:t>
            </w:r>
          </w:p>
        </w:tc>
        <w:tc>
          <w:tcPr>
            <w:tcW w:w="1197" w:type="dxa"/>
            <w:tcBorders>
              <w:top w:val="nil"/>
              <w:left w:val="nil"/>
              <w:bottom w:val="single" w:sz="4" w:space="0" w:color="auto"/>
              <w:right w:val="single" w:sz="4" w:space="0" w:color="auto"/>
            </w:tcBorders>
            <w:shd w:val="clear" w:color="auto" w:fill="auto"/>
            <w:vAlign w:val="center"/>
            <w:hideMark/>
          </w:tcPr>
          <w:p w14:paraId="6B7CEC03" w14:textId="223C9E48"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96.05</w:t>
            </w:r>
          </w:p>
        </w:tc>
      </w:tr>
      <w:tr w:rsidR="00743C68" w:rsidRPr="00B92499" w14:paraId="30D89F2B"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1C5C11"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1E04A97B"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Estructura orgánica.</w:t>
            </w:r>
          </w:p>
        </w:tc>
        <w:tc>
          <w:tcPr>
            <w:tcW w:w="1197" w:type="dxa"/>
            <w:tcBorders>
              <w:top w:val="nil"/>
              <w:left w:val="nil"/>
              <w:bottom w:val="single" w:sz="4" w:space="0" w:color="auto"/>
              <w:right w:val="single" w:sz="4" w:space="0" w:color="auto"/>
            </w:tcBorders>
            <w:shd w:val="clear" w:color="auto" w:fill="auto"/>
            <w:vAlign w:val="center"/>
            <w:hideMark/>
          </w:tcPr>
          <w:p w14:paraId="33E69B17" w14:textId="0A910401"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95</w:t>
            </w:r>
            <w:r w:rsidR="00316565" w:rsidRPr="00B92499">
              <w:rPr>
                <w:rFonts w:ascii="Arial" w:hAnsi="Arial" w:cs="Arial"/>
                <w:color w:val="000000"/>
                <w:sz w:val="20"/>
                <w:szCs w:val="20"/>
              </w:rPr>
              <w:t>.00</w:t>
            </w:r>
          </w:p>
        </w:tc>
      </w:tr>
      <w:tr w:rsidR="00743C68" w:rsidRPr="00B92499" w14:paraId="3628C294"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EF7F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335C3D56"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Marco Normativo.</w:t>
            </w:r>
          </w:p>
        </w:tc>
        <w:tc>
          <w:tcPr>
            <w:tcW w:w="1197" w:type="dxa"/>
            <w:tcBorders>
              <w:top w:val="nil"/>
              <w:left w:val="nil"/>
              <w:bottom w:val="single" w:sz="4" w:space="0" w:color="auto"/>
              <w:right w:val="single" w:sz="4" w:space="0" w:color="auto"/>
            </w:tcBorders>
            <w:shd w:val="clear" w:color="auto" w:fill="auto"/>
            <w:vAlign w:val="center"/>
            <w:hideMark/>
          </w:tcPr>
          <w:p w14:paraId="74A9EE52"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93.75</w:t>
            </w:r>
          </w:p>
        </w:tc>
      </w:tr>
      <w:tr w:rsidR="00743C68" w:rsidRPr="00B92499" w14:paraId="31EB6D66"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D7085"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02928679"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Facultades de cada área (dirección).</w:t>
            </w:r>
          </w:p>
        </w:tc>
        <w:tc>
          <w:tcPr>
            <w:tcW w:w="1197" w:type="dxa"/>
            <w:tcBorders>
              <w:top w:val="nil"/>
              <w:left w:val="nil"/>
              <w:bottom w:val="single" w:sz="4" w:space="0" w:color="auto"/>
              <w:right w:val="single" w:sz="4" w:space="0" w:color="auto"/>
            </w:tcBorders>
            <w:shd w:val="clear" w:color="auto" w:fill="auto"/>
            <w:vAlign w:val="center"/>
            <w:hideMark/>
          </w:tcPr>
          <w:p w14:paraId="4A3D6F80"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93.75</w:t>
            </w:r>
          </w:p>
        </w:tc>
      </w:tr>
      <w:tr w:rsidR="00743C68" w:rsidRPr="00B92499" w14:paraId="0388CFE8"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D0C21D"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76B3A72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Dictámenes de cuenta pública y estado financieros.</w:t>
            </w:r>
          </w:p>
        </w:tc>
        <w:tc>
          <w:tcPr>
            <w:tcW w:w="1197" w:type="dxa"/>
            <w:tcBorders>
              <w:top w:val="nil"/>
              <w:left w:val="nil"/>
              <w:bottom w:val="single" w:sz="4" w:space="0" w:color="auto"/>
              <w:right w:val="single" w:sz="4" w:space="0" w:color="auto"/>
            </w:tcBorders>
            <w:shd w:val="clear" w:color="auto" w:fill="auto"/>
            <w:vAlign w:val="center"/>
            <w:hideMark/>
          </w:tcPr>
          <w:p w14:paraId="651F7999" w14:textId="305691D6" w:rsidR="00743C68" w:rsidRPr="00B92499" w:rsidRDefault="00743C68" w:rsidP="00316565">
            <w:pPr>
              <w:jc w:val="center"/>
              <w:rPr>
                <w:rFonts w:ascii="Arial" w:hAnsi="Arial" w:cs="Arial"/>
                <w:color w:val="000000"/>
                <w:sz w:val="20"/>
                <w:szCs w:val="20"/>
              </w:rPr>
            </w:pPr>
            <w:r w:rsidRPr="00B92499">
              <w:rPr>
                <w:rFonts w:ascii="Arial" w:hAnsi="Arial" w:cs="Arial"/>
                <w:color w:val="000000"/>
                <w:sz w:val="20"/>
                <w:szCs w:val="20"/>
              </w:rPr>
              <w:t>92.8</w:t>
            </w:r>
            <w:r w:rsidR="00316565" w:rsidRPr="00B92499">
              <w:rPr>
                <w:rFonts w:ascii="Arial" w:hAnsi="Arial" w:cs="Arial"/>
                <w:color w:val="000000"/>
                <w:sz w:val="20"/>
                <w:szCs w:val="20"/>
              </w:rPr>
              <w:t>6</w:t>
            </w:r>
          </w:p>
        </w:tc>
      </w:tr>
      <w:tr w:rsidR="00743C68" w:rsidRPr="00B92499" w14:paraId="25A052CF"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9CAB48"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3F63C53E"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CV de jefe de departamento para arriba.</w:t>
            </w:r>
          </w:p>
        </w:tc>
        <w:tc>
          <w:tcPr>
            <w:tcW w:w="1197" w:type="dxa"/>
            <w:tcBorders>
              <w:top w:val="nil"/>
              <w:left w:val="nil"/>
              <w:bottom w:val="single" w:sz="4" w:space="0" w:color="auto"/>
              <w:right w:val="single" w:sz="4" w:space="0" w:color="auto"/>
            </w:tcBorders>
            <w:shd w:val="clear" w:color="auto" w:fill="auto"/>
            <w:vAlign w:val="center"/>
            <w:hideMark/>
          </w:tcPr>
          <w:p w14:paraId="7192BE6D" w14:textId="77D5FB07" w:rsidR="00743C68" w:rsidRPr="00B92499" w:rsidRDefault="00743C68" w:rsidP="00550D91">
            <w:pPr>
              <w:jc w:val="center"/>
              <w:rPr>
                <w:rFonts w:ascii="Arial" w:hAnsi="Arial" w:cs="Arial"/>
                <w:color w:val="000000"/>
                <w:sz w:val="20"/>
                <w:szCs w:val="20"/>
              </w:rPr>
            </w:pPr>
            <w:r w:rsidRPr="00B92499">
              <w:rPr>
                <w:rFonts w:ascii="Arial" w:hAnsi="Arial" w:cs="Arial"/>
                <w:color w:val="000000"/>
                <w:sz w:val="20"/>
                <w:szCs w:val="20"/>
              </w:rPr>
              <w:t>91.6</w:t>
            </w:r>
            <w:r w:rsidR="00550D91" w:rsidRPr="00B92499">
              <w:rPr>
                <w:rFonts w:ascii="Arial" w:hAnsi="Arial" w:cs="Arial"/>
                <w:color w:val="000000"/>
                <w:sz w:val="20"/>
                <w:szCs w:val="20"/>
              </w:rPr>
              <w:t>7</w:t>
            </w:r>
          </w:p>
        </w:tc>
      </w:tr>
      <w:tr w:rsidR="00743C68" w:rsidRPr="00B92499" w14:paraId="5D3617FC"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95A8BE"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127736D3" w14:textId="44AC1A5C"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027F002B" w14:textId="5A76EA7A" w:rsidR="00743C68" w:rsidRPr="00B92499" w:rsidRDefault="00743C68" w:rsidP="00550D91">
            <w:pPr>
              <w:jc w:val="center"/>
              <w:rPr>
                <w:rFonts w:ascii="Arial" w:hAnsi="Arial" w:cs="Arial"/>
                <w:color w:val="000000"/>
                <w:sz w:val="20"/>
                <w:szCs w:val="20"/>
              </w:rPr>
            </w:pPr>
            <w:r w:rsidRPr="00B92499">
              <w:rPr>
                <w:rFonts w:ascii="Arial" w:hAnsi="Arial" w:cs="Arial"/>
                <w:color w:val="000000"/>
                <w:sz w:val="20"/>
                <w:szCs w:val="20"/>
              </w:rPr>
              <w:t>91.6</w:t>
            </w:r>
            <w:r w:rsidR="00550D91" w:rsidRPr="00B92499">
              <w:rPr>
                <w:rFonts w:ascii="Arial" w:hAnsi="Arial" w:cs="Arial"/>
                <w:color w:val="000000"/>
                <w:sz w:val="20"/>
                <w:szCs w:val="20"/>
              </w:rPr>
              <w:t>7</w:t>
            </w:r>
          </w:p>
        </w:tc>
      </w:tr>
      <w:tr w:rsidR="00743C68" w:rsidRPr="00B92499" w14:paraId="409649D7"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42F862"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473FD6A4" w14:textId="4470E8F6"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Indicadores de gestión</w:t>
            </w:r>
            <w:r w:rsidR="00FF3679"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771A21F9" w14:textId="1F0E4175" w:rsidR="00743C68" w:rsidRPr="00B92499" w:rsidRDefault="00743C68" w:rsidP="00550D91">
            <w:pPr>
              <w:jc w:val="center"/>
              <w:rPr>
                <w:rFonts w:ascii="Arial" w:hAnsi="Arial" w:cs="Arial"/>
                <w:color w:val="000000"/>
                <w:sz w:val="20"/>
                <w:szCs w:val="20"/>
              </w:rPr>
            </w:pPr>
            <w:r w:rsidRPr="00B92499">
              <w:rPr>
                <w:rFonts w:ascii="Arial" w:hAnsi="Arial" w:cs="Arial"/>
                <w:color w:val="000000"/>
                <w:sz w:val="20"/>
                <w:szCs w:val="20"/>
              </w:rPr>
              <w:t>90.83</w:t>
            </w:r>
          </w:p>
        </w:tc>
      </w:tr>
      <w:tr w:rsidR="00743C68" w:rsidRPr="00B92499" w14:paraId="63DDCCDA"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9B84A9"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493D3324"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Estadísticas que generen.</w:t>
            </w:r>
          </w:p>
        </w:tc>
        <w:tc>
          <w:tcPr>
            <w:tcW w:w="1197" w:type="dxa"/>
            <w:tcBorders>
              <w:top w:val="nil"/>
              <w:left w:val="nil"/>
              <w:bottom w:val="single" w:sz="4" w:space="0" w:color="auto"/>
              <w:right w:val="single" w:sz="4" w:space="0" w:color="auto"/>
            </w:tcBorders>
            <w:shd w:val="clear" w:color="auto" w:fill="auto"/>
            <w:vAlign w:val="center"/>
            <w:hideMark/>
          </w:tcPr>
          <w:p w14:paraId="4BDFCD8F" w14:textId="77777777"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88.75</w:t>
            </w:r>
          </w:p>
        </w:tc>
      </w:tr>
      <w:tr w:rsidR="00743C68" w:rsidRPr="00B92499" w14:paraId="7A576C04" w14:textId="77777777" w:rsidTr="00743C6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08A23C" w14:textId="77777777" w:rsidR="00743C68" w:rsidRPr="00B92499" w:rsidRDefault="00743C68">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1944A5E0" w14:textId="77777777" w:rsidR="00743C68" w:rsidRPr="00B92499" w:rsidRDefault="00743C68" w:rsidP="00EE3F6D">
            <w:pPr>
              <w:jc w:val="both"/>
              <w:rPr>
                <w:rFonts w:ascii="Arial" w:hAnsi="Arial" w:cs="Arial"/>
                <w:color w:val="000000"/>
                <w:sz w:val="20"/>
                <w:szCs w:val="20"/>
              </w:rPr>
            </w:pPr>
            <w:r w:rsidRPr="00B92499">
              <w:rPr>
                <w:rFonts w:ascii="Arial" w:hAnsi="Arial" w:cs="Arial"/>
                <w:color w:val="000000"/>
                <w:sz w:val="20"/>
                <w:szCs w:val="20"/>
              </w:rPr>
              <w:t>Servidores públicos con sanciones administrativas.</w:t>
            </w:r>
          </w:p>
        </w:tc>
        <w:tc>
          <w:tcPr>
            <w:tcW w:w="1197" w:type="dxa"/>
            <w:tcBorders>
              <w:top w:val="nil"/>
              <w:left w:val="nil"/>
              <w:bottom w:val="single" w:sz="4" w:space="0" w:color="auto"/>
              <w:right w:val="single" w:sz="4" w:space="0" w:color="auto"/>
            </w:tcBorders>
            <w:shd w:val="clear" w:color="auto" w:fill="auto"/>
            <w:vAlign w:val="center"/>
            <w:hideMark/>
          </w:tcPr>
          <w:p w14:paraId="799C4030" w14:textId="00F1F801" w:rsidR="00743C68" w:rsidRPr="00B92499" w:rsidRDefault="00743C68" w:rsidP="00743C68">
            <w:pPr>
              <w:jc w:val="center"/>
              <w:rPr>
                <w:rFonts w:ascii="Arial" w:hAnsi="Arial" w:cs="Arial"/>
                <w:color w:val="000000"/>
                <w:sz w:val="20"/>
                <w:szCs w:val="20"/>
              </w:rPr>
            </w:pPr>
            <w:r w:rsidRPr="00B92499">
              <w:rPr>
                <w:rFonts w:ascii="Arial" w:hAnsi="Arial" w:cs="Arial"/>
                <w:color w:val="000000"/>
                <w:sz w:val="20"/>
                <w:szCs w:val="20"/>
              </w:rPr>
              <w:t>50</w:t>
            </w:r>
            <w:r w:rsidR="00550D91" w:rsidRPr="00B92499">
              <w:rPr>
                <w:rFonts w:ascii="Arial" w:hAnsi="Arial" w:cs="Arial"/>
                <w:color w:val="000000"/>
                <w:sz w:val="20"/>
                <w:szCs w:val="20"/>
              </w:rPr>
              <w:t>.00</w:t>
            </w:r>
          </w:p>
        </w:tc>
      </w:tr>
    </w:tbl>
    <w:p w14:paraId="77A9C523"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46FCBA0A" w14:textId="415F94FC" w:rsidR="00323ABF" w:rsidRPr="00B92499" w:rsidRDefault="00323ABF" w:rsidP="009F64B5">
      <w:pPr>
        <w:pStyle w:val="Ttulo2"/>
        <w:numPr>
          <w:ilvl w:val="1"/>
          <w:numId w:val="13"/>
        </w:numPr>
        <w:contextualSpacing/>
        <w:jc w:val="both"/>
        <w:rPr>
          <w:rFonts w:ascii="Arial" w:hAnsi="Arial" w:cs="Arial"/>
          <w:b/>
          <w:color w:val="auto"/>
          <w:sz w:val="24"/>
          <w:szCs w:val="24"/>
        </w:rPr>
      </w:pPr>
      <w:bookmarkStart w:id="42" w:name="_Toc23252998"/>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w:t>
      </w:r>
      <w:r w:rsidR="00EE3F6D" w:rsidRPr="00B92499">
        <w:rPr>
          <w:rFonts w:ascii="Arial" w:hAnsi="Arial" w:cs="Arial"/>
          <w:b/>
          <w:color w:val="auto"/>
          <w:sz w:val="24"/>
          <w:szCs w:val="24"/>
        </w:rPr>
        <w:t>25</w:t>
      </w:r>
      <w:r w:rsidRPr="00B92499">
        <w:rPr>
          <w:rFonts w:ascii="Arial" w:hAnsi="Arial" w:cs="Arial"/>
          <w:b/>
          <w:color w:val="auto"/>
          <w:sz w:val="24"/>
          <w:szCs w:val="24"/>
        </w:rPr>
        <w:t xml:space="preserve"> y sus respectivas fracciones</w:t>
      </w:r>
      <w:bookmarkEnd w:id="42"/>
    </w:p>
    <w:p w14:paraId="6879E1E1" w14:textId="34EDAE20"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El sindicato obtuvo un ICP en este artículo de </w:t>
      </w:r>
      <w:r w:rsidR="00FF3679" w:rsidRPr="00B92499">
        <w:rPr>
          <w:rFonts w:ascii="Arial" w:hAnsi="Arial" w:cs="Arial"/>
        </w:rPr>
        <w:t>93.50</w:t>
      </w:r>
      <w:r w:rsidRPr="00B92499">
        <w:rPr>
          <w:rFonts w:ascii="Arial" w:hAnsi="Arial" w:cs="Arial"/>
        </w:rPr>
        <w:t>%, por lo que se encuentra dentro del área de cumplimiento parcial. Lo anterior se debió a que de las</w:t>
      </w:r>
      <w:r w:rsidR="00FF3679" w:rsidRPr="00B92499">
        <w:rPr>
          <w:rFonts w:ascii="Arial" w:hAnsi="Arial" w:cs="Arial"/>
        </w:rPr>
        <w:t xml:space="preserve"> 35 </w:t>
      </w:r>
      <w:r w:rsidRPr="00B92499">
        <w:rPr>
          <w:rFonts w:ascii="Arial" w:hAnsi="Arial" w:cs="Arial"/>
        </w:rPr>
        <w:t xml:space="preserve">fracciones que les son aplicables, en </w:t>
      </w:r>
      <w:r w:rsidR="00FF3679" w:rsidRPr="00B92499">
        <w:rPr>
          <w:rFonts w:ascii="Arial" w:hAnsi="Arial" w:cs="Arial"/>
        </w:rPr>
        <w:t>15</w:t>
      </w:r>
      <w:r w:rsidRPr="00B92499">
        <w:rPr>
          <w:rFonts w:ascii="Arial" w:hAnsi="Arial" w:cs="Arial"/>
        </w:rPr>
        <w:t xml:space="preserve"> alcanzó un cumplimiento total de 100%, en </w:t>
      </w:r>
      <w:r w:rsidR="00FF3679" w:rsidRPr="00B92499">
        <w:rPr>
          <w:rFonts w:ascii="Arial" w:hAnsi="Arial" w:cs="Arial"/>
        </w:rPr>
        <w:t>18</w:t>
      </w:r>
      <w:r w:rsidRPr="00B92499">
        <w:rPr>
          <w:rFonts w:ascii="Arial" w:hAnsi="Arial" w:cs="Arial"/>
        </w:rPr>
        <w:t xml:space="preserve"> fracciones un cumplimiento parcial</w:t>
      </w:r>
      <w:r w:rsidR="00FF3679" w:rsidRPr="00B92499">
        <w:rPr>
          <w:rFonts w:ascii="Arial" w:hAnsi="Arial" w:cs="Arial"/>
        </w:rPr>
        <w:t xml:space="preserve"> entre 86.1% y</w:t>
      </w:r>
      <w:r w:rsidRPr="00B92499">
        <w:rPr>
          <w:rFonts w:ascii="Arial" w:hAnsi="Arial" w:cs="Arial"/>
        </w:rPr>
        <w:t xml:space="preserve"> 99.</w:t>
      </w:r>
      <w:r w:rsidR="00FF3679" w:rsidRPr="00B92499">
        <w:rPr>
          <w:rFonts w:ascii="Arial" w:hAnsi="Arial" w:cs="Arial"/>
        </w:rPr>
        <w:t>56</w:t>
      </w:r>
      <w:r w:rsidRPr="00B92499">
        <w:rPr>
          <w:rFonts w:ascii="Arial" w:hAnsi="Arial" w:cs="Arial"/>
        </w:rPr>
        <w:t xml:space="preserve">% y en </w:t>
      </w:r>
      <w:r w:rsidR="000D67A7" w:rsidRPr="00B92499">
        <w:rPr>
          <w:rFonts w:ascii="Arial" w:hAnsi="Arial" w:cs="Arial"/>
        </w:rPr>
        <w:t>2</w:t>
      </w:r>
      <w:r w:rsidR="00FF3679" w:rsidRPr="00B92499">
        <w:rPr>
          <w:rFonts w:ascii="Arial" w:hAnsi="Arial" w:cs="Arial"/>
        </w:rPr>
        <w:t xml:space="preserve"> fracciones un incumplimiento parcial de 50%. </w:t>
      </w:r>
    </w:p>
    <w:p w14:paraId="26DB632F"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4978D1DF" w14:textId="382A33CB" w:rsidR="00323ABF" w:rsidRPr="00B92499" w:rsidRDefault="00323ABF" w:rsidP="00323ABF">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de las </w:t>
      </w:r>
      <w:r w:rsidR="00FF3679" w:rsidRPr="00B92499">
        <w:rPr>
          <w:rFonts w:ascii="Arial" w:hAnsi="Arial" w:cs="Arial"/>
        </w:rPr>
        <w:t>35</w:t>
      </w:r>
      <w:r w:rsidRPr="00B92499">
        <w:rPr>
          <w:rFonts w:ascii="Arial" w:hAnsi="Arial" w:cs="Arial"/>
        </w:rPr>
        <w:t xml:space="preserve"> fracciones que le son aplicables; las</w:t>
      </w:r>
      <w:r w:rsidR="000D67A7" w:rsidRPr="00B92499">
        <w:rPr>
          <w:rFonts w:ascii="Arial" w:hAnsi="Arial" w:cs="Arial"/>
        </w:rPr>
        <w:t xml:space="preserve"> 4 </w:t>
      </w:r>
      <w:r w:rsidR="00FF3679" w:rsidRPr="00B92499">
        <w:rPr>
          <w:rFonts w:ascii="Arial" w:hAnsi="Arial" w:cs="Arial"/>
        </w:rPr>
        <w:t>que</w:t>
      </w:r>
      <w:r w:rsidRPr="00B92499">
        <w:rPr>
          <w:rFonts w:ascii="Arial" w:hAnsi="Arial" w:cs="Arial"/>
        </w:rPr>
        <w:t xml:space="preserve"> presentan </w:t>
      </w:r>
      <w:r w:rsidR="00FF3679" w:rsidRPr="00B92499">
        <w:rPr>
          <w:rFonts w:ascii="Arial" w:hAnsi="Arial" w:cs="Arial"/>
        </w:rPr>
        <w:t xml:space="preserve">mayores </w:t>
      </w:r>
      <w:r w:rsidRPr="00B92499">
        <w:rPr>
          <w:rFonts w:ascii="Arial" w:hAnsi="Arial" w:cs="Arial"/>
        </w:rPr>
        <w:t>área</w:t>
      </w:r>
      <w:r w:rsidR="00FF3679" w:rsidRPr="00B92499">
        <w:rPr>
          <w:rFonts w:ascii="Arial" w:hAnsi="Arial" w:cs="Arial"/>
        </w:rPr>
        <w:t>s</w:t>
      </w:r>
      <w:r w:rsidRPr="00B92499">
        <w:rPr>
          <w:rFonts w:ascii="Arial" w:hAnsi="Arial" w:cs="Arial"/>
        </w:rPr>
        <w:t xml:space="preserve"> de oportunidad son las siguientes: </w:t>
      </w:r>
    </w:p>
    <w:p w14:paraId="29DAABE6" w14:textId="45575EE5" w:rsidR="00F95061" w:rsidRPr="00B92499" w:rsidRDefault="00323ABF" w:rsidP="009F64B5">
      <w:pPr>
        <w:pStyle w:val="Prrafodelista"/>
        <w:numPr>
          <w:ilvl w:val="0"/>
          <w:numId w:val="2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FF3679" w:rsidRPr="00B92499">
        <w:rPr>
          <w:rFonts w:ascii="Arial" w:hAnsi="Arial" w:cs="Arial"/>
          <w:sz w:val="24"/>
          <w:szCs w:val="24"/>
          <w:lang w:val="es-ES_tradnl"/>
        </w:rPr>
        <w:t>XXVI</w:t>
      </w:r>
      <w:r w:rsidRPr="00B92499">
        <w:rPr>
          <w:rFonts w:ascii="Arial" w:hAnsi="Arial" w:cs="Arial"/>
          <w:sz w:val="24"/>
          <w:szCs w:val="24"/>
          <w:lang w:val="es-ES_tradnl"/>
        </w:rPr>
        <w:t xml:space="preserve">, con un ICP de </w:t>
      </w:r>
      <w:r w:rsidR="00FF3679" w:rsidRPr="00B92499">
        <w:rPr>
          <w:rFonts w:ascii="Arial" w:hAnsi="Arial" w:cs="Arial"/>
          <w:sz w:val="24"/>
          <w:szCs w:val="24"/>
          <w:lang w:val="es-ES_tradnl"/>
        </w:rPr>
        <w:t>50</w:t>
      </w:r>
      <w:r w:rsidRPr="00B92499">
        <w:rPr>
          <w:rFonts w:ascii="Arial" w:hAnsi="Arial" w:cs="Arial"/>
          <w:sz w:val="24"/>
          <w:szCs w:val="24"/>
          <w:lang w:val="es-ES_tradnl"/>
        </w:rPr>
        <w:t xml:space="preserve">% que hace referencia a la publicación </w:t>
      </w:r>
      <w:r w:rsidR="00FF3679" w:rsidRPr="00B92499">
        <w:rPr>
          <w:rFonts w:ascii="Arial" w:hAnsi="Arial" w:cs="Arial"/>
          <w:sz w:val="24"/>
          <w:szCs w:val="24"/>
          <w:lang w:val="es-ES_tradnl"/>
        </w:rPr>
        <w:t>del informe anual del ejercicio del gasto que elabora el Comité de Administración, una vez que haya sido conocido por el Pleno</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w:t>
      </w:r>
      <w:r w:rsidR="00F95061" w:rsidRPr="00B92499">
        <w:rPr>
          <w:rFonts w:ascii="Arial" w:hAnsi="Arial" w:cs="Arial"/>
          <w:sz w:val="24"/>
          <w:szCs w:val="24"/>
          <w:lang w:val="es-ES_tradnl"/>
        </w:rPr>
        <w:t>en publicar la información en la PNT de forma homologada con su portal institucional, en donde sí cuenta con la información completa y actualizada.</w:t>
      </w:r>
    </w:p>
    <w:p w14:paraId="354F1452" w14:textId="5CB40331" w:rsidR="00FF3679" w:rsidRPr="00B92499" w:rsidRDefault="00323ABF" w:rsidP="009F64B5">
      <w:pPr>
        <w:pStyle w:val="Prrafodelista"/>
        <w:numPr>
          <w:ilvl w:val="0"/>
          <w:numId w:val="2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FF3679" w:rsidRPr="00B92499">
        <w:rPr>
          <w:rFonts w:ascii="Arial" w:hAnsi="Arial" w:cs="Arial"/>
          <w:sz w:val="24"/>
          <w:szCs w:val="24"/>
          <w:lang w:val="es-ES_tradnl"/>
        </w:rPr>
        <w:t>XXII</w:t>
      </w:r>
      <w:r w:rsidRPr="00B92499">
        <w:rPr>
          <w:rFonts w:ascii="Arial" w:hAnsi="Arial" w:cs="Arial"/>
          <w:sz w:val="24"/>
          <w:szCs w:val="24"/>
          <w:lang w:val="es-ES_tradnl"/>
        </w:rPr>
        <w:t xml:space="preserve">, con un ICP de </w:t>
      </w:r>
      <w:r w:rsidR="00FF3679" w:rsidRPr="00B92499">
        <w:rPr>
          <w:rFonts w:ascii="Arial" w:hAnsi="Arial" w:cs="Arial"/>
          <w:sz w:val="24"/>
          <w:szCs w:val="24"/>
          <w:lang w:val="es-ES_tradnl"/>
        </w:rPr>
        <w:t>50</w:t>
      </w:r>
      <w:r w:rsidRPr="00B92499">
        <w:rPr>
          <w:rFonts w:ascii="Arial" w:hAnsi="Arial" w:cs="Arial"/>
          <w:sz w:val="24"/>
          <w:szCs w:val="24"/>
          <w:lang w:val="es-ES_tradnl"/>
        </w:rPr>
        <w:t xml:space="preserve">%, que establece la publicación </w:t>
      </w:r>
      <w:r w:rsidR="00FF3679" w:rsidRPr="00B92499">
        <w:rPr>
          <w:rFonts w:ascii="Arial" w:hAnsi="Arial" w:cs="Arial"/>
          <w:sz w:val="24"/>
          <w:szCs w:val="24"/>
          <w:lang w:val="es-ES_tradnl"/>
        </w:rPr>
        <w:t xml:space="preserve">de los dictámenes de cuenta </w:t>
      </w:r>
      <w:r w:rsidR="000B0B2E" w:rsidRPr="00B92499">
        <w:rPr>
          <w:rFonts w:ascii="Arial" w:hAnsi="Arial" w:cs="Arial"/>
          <w:sz w:val="24"/>
          <w:szCs w:val="24"/>
          <w:lang w:val="es-ES_tradnl"/>
        </w:rPr>
        <w:t>pública,</w:t>
      </w:r>
      <w:r w:rsidR="00FF3679" w:rsidRPr="00B92499">
        <w:rPr>
          <w:rFonts w:ascii="Arial" w:hAnsi="Arial" w:cs="Arial"/>
          <w:sz w:val="24"/>
          <w:szCs w:val="24"/>
          <w:lang w:val="es-ES_tradnl"/>
        </w:rPr>
        <w:t xml:space="preserve"> así como los</w:t>
      </w:r>
      <w:r w:rsidR="000B0B2E" w:rsidRPr="00B92499">
        <w:rPr>
          <w:rFonts w:ascii="Arial" w:hAnsi="Arial" w:cs="Arial"/>
          <w:sz w:val="24"/>
          <w:szCs w:val="24"/>
          <w:lang w:val="es-ES_tradnl"/>
        </w:rPr>
        <w:t xml:space="preserve"> </w:t>
      </w:r>
      <w:r w:rsidR="00FF3679" w:rsidRPr="00B92499">
        <w:rPr>
          <w:rFonts w:ascii="Arial" w:hAnsi="Arial" w:cs="Arial"/>
          <w:sz w:val="24"/>
          <w:szCs w:val="24"/>
          <w:lang w:val="es-ES_tradnl"/>
        </w:rPr>
        <w:t>estado</w:t>
      </w:r>
      <w:r w:rsidR="00C7683E" w:rsidRPr="00B92499">
        <w:rPr>
          <w:rFonts w:ascii="Arial" w:hAnsi="Arial" w:cs="Arial"/>
          <w:sz w:val="24"/>
          <w:szCs w:val="24"/>
          <w:lang w:val="es-ES_tradnl"/>
        </w:rPr>
        <w:t>s</w:t>
      </w:r>
      <w:r w:rsidR="00FF3679" w:rsidRPr="00B92499">
        <w:rPr>
          <w:rFonts w:ascii="Arial" w:hAnsi="Arial" w:cs="Arial"/>
          <w:sz w:val="24"/>
          <w:szCs w:val="24"/>
          <w:lang w:val="es-ES_tradnl"/>
        </w:rPr>
        <w:t xml:space="preserve"> financieros y demás información que los órganos de fiscalización superior utilizan para emitir tales dictámenes.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w:t>
      </w:r>
      <w:r w:rsidR="00FF3679" w:rsidRPr="00B92499">
        <w:rPr>
          <w:rFonts w:ascii="Arial" w:hAnsi="Arial" w:cs="Arial"/>
          <w:sz w:val="24"/>
          <w:szCs w:val="24"/>
          <w:lang w:val="es-ES_tradnl"/>
        </w:rPr>
        <w:t>n</w:t>
      </w:r>
      <w:r w:rsidR="00813E0D" w:rsidRPr="00B92499">
        <w:rPr>
          <w:rFonts w:ascii="Arial" w:hAnsi="Arial" w:cs="Arial"/>
          <w:sz w:val="24"/>
          <w:szCs w:val="24"/>
          <w:lang w:val="es-ES_tradnl"/>
        </w:rPr>
        <w:t xml:space="preserve"> actualizar y publicar la información al segundo trimestre del año 2019. </w:t>
      </w:r>
    </w:p>
    <w:p w14:paraId="114B899F" w14:textId="7C38BBBA" w:rsidR="00813E0D" w:rsidRPr="00B92499" w:rsidRDefault="00FF3679" w:rsidP="009F64B5">
      <w:pPr>
        <w:pStyle w:val="Prrafodelista"/>
        <w:numPr>
          <w:ilvl w:val="0"/>
          <w:numId w:val="2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XXIV, con un ICP de 86.11%, que establece la publicación de los recursos económicos, el proceso de asignación y los capítulos y partidas de gasto pertenecientes a ese total; así como los informes que éstos presenten sobre su uso y destino final.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en</w:t>
      </w:r>
      <w:r w:rsidR="00813E0D" w:rsidRPr="00B92499">
        <w:rPr>
          <w:rFonts w:ascii="Arial" w:hAnsi="Arial" w:cs="Arial"/>
          <w:sz w:val="24"/>
          <w:szCs w:val="24"/>
          <w:lang w:val="es-ES_tradnl"/>
        </w:rPr>
        <w:t xml:space="preserve"> cumplir con las disposiciones de la Ley y los Lineamientos y Metodología de Evaluación de las obligaciones de transparencia que deben publicar en su portal de internet y en la Plataforma Nacional de Transparencia los </w:t>
      </w:r>
      <w:r w:rsidR="008710F6" w:rsidRPr="00B92499">
        <w:rPr>
          <w:rFonts w:ascii="Arial" w:hAnsi="Arial" w:cs="Arial"/>
          <w:sz w:val="24"/>
          <w:szCs w:val="24"/>
          <w:lang w:val="es-ES_tradnl"/>
        </w:rPr>
        <w:t>sujeto</w:t>
      </w:r>
      <w:r w:rsidR="00813E0D" w:rsidRPr="00B92499">
        <w:rPr>
          <w:rFonts w:ascii="Arial" w:hAnsi="Arial" w:cs="Arial"/>
          <w:sz w:val="24"/>
          <w:szCs w:val="24"/>
          <w:lang w:val="es-ES_tradnl"/>
        </w:rPr>
        <w:t xml:space="preserve">s </w:t>
      </w:r>
      <w:r w:rsidR="008710F6" w:rsidRPr="00B92499">
        <w:rPr>
          <w:rFonts w:ascii="Arial" w:hAnsi="Arial" w:cs="Arial"/>
          <w:sz w:val="24"/>
          <w:szCs w:val="24"/>
          <w:lang w:val="es-ES_tradnl"/>
        </w:rPr>
        <w:t>obligado</w:t>
      </w:r>
      <w:r w:rsidR="00813E0D" w:rsidRPr="00B92499">
        <w:rPr>
          <w:rFonts w:ascii="Arial" w:hAnsi="Arial" w:cs="Arial"/>
          <w:sz w:val="24"/>
          <w:szCs w:val="24"/>
          <w:lang w:val="es-ES_tradnl"/>
        </w:rPr>
        <w:t>s de la Ciudad de México, pues no publica la información por Grupo Parlamentario o Coalición ni desagregada por cada rubro en el que se gastó.</w:t>
      </w:r>
    </w:p>
    <w:p w14:paraId="1BD77FD0" w14:textId="4ECB8398" w:rsidR="00FF3679" w:rsidRPr="00B92499" w:rsidRDefault="00FF3679" w:rsidP="009F64B5">
      <w:pPr>
        <w:pStyle w:val="Prrafodelista"/>
        <w:numPr>
          <w:ilvl w:val="0"/>
          <w:numId w:val="22"/>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XX, con un ICP de 87.5%, que establece la publicación de la asignación y destino final de los bienes materiales.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en</w:t>
      </w:r>
      <w:r w:rsidR="00813E0D" w:rsidRPr="00B92499">
        <w:rPr>
          <w:rFonts w:ascii="Arial" w:hAnsi="Arial" w:cs="Arial"/>
          <w:sz w:val="24"/>
          <w:szCs w:val="24"/>
          <w:lang w:val="es-ES_tradnl"/>
        </w:rPr>
        <w:t xml:space="preserve"> homologar la información de su portal institucional con la PNT, donde sí se publica la información en forma correcta, completa y actualizada.</w:t>
      </w:r>
    </w:p>
    <w:p w14:paraId="39DDA816" w14:textId="77777777" w:rsidR="00813E0D" w:rsidRPr="00B92499" w:rsidRDefault="00813E0D" w:rsidP="00813E0D">
      <w:pPr>
        <w:pStyle w:val="Prrafodelista"/>
        <w:spacing w:before="100" w:beforeAutospacing="1" w:after="100" w:afterAutospacing="1" w:line="360" w:lineRule="auto"/>
        <w:ind w:left="360"/>
        <w:jc w:val="both"/>
        <w:rPr>
          <w:rFonts w:ascii="Arial" w:hAnsi="Arial" w:cs="Arial"/>
          <w:sz w:val="24"/>
          <w:szCs w:val="24"/>
          <w:lang w:val="es-ES_tradnl"/>
        </w:rPr>
      </w:pPr>
    </w:p>
    <w:p w14:paraId="268A434B" w14:textId="0B935250" w:rsidR="00323ABF" w:rsidRPr="00B92499" w:rsidRDefault="00323ABF" w:rsidP="00323ABF">
      <w:pPr>
        <w:spacing w:before="100" w:beforeAutospacing="1" w:after="100" w:afterAutospacing="1" w:line="360" w:lineRule="auto"/>
        <w:jc w:val="both"/>
        <w:rPr>
          <w:rFonts w:ascii="Arial" w:hAnsi="Arial" w:cs="Arial"/>
        </w:rPr>
      </w:pPr>
      <w:r w:rsidRPr="00B92499">
        <w:rPr>
          <w:rFonts w:ascii="Arial" w:hAnsi="Arial" w:cs="Arial"/>
        </w:rPr>
        <w:t xml:space="preserve">De igual forma, en </w:t>
      </w:r>
      <w:r w:rsidR="00EE3F6D" w:rsidRPr="00B92499">
        <w:rPr>
          <w:rFonts w:ascii="Arial" w:hAnsi="Arial" w:cs="Arial"/>
        </w:rPr>
        <w:t>16</w:t>
      </w:r>
      <w:r w:rsidRPr="00B92499">
        <w:rPr>
          <w:rFonts w:ascii="Arial" w:hAnsi="Arial" w:cs="Arial"/>
        </w:rPr>
        <w:t xml:space="preserve"> f</w:t>
      </w:r>
      <w:r w:rsidR="00EE3F6D" w:rsidRPr="00B92499">
        <w:rPr>
          <w:rFonts w:ascii="Arial" w:hAnsi="Arial" w:cs="Arial"/>
        </w:rPr>
        <w:t>r</w:t>
      </w:r>
      <w:r w:rsidRPr="00B92499">
        <w:rPr>
          <w:rFonts w:ascii="Arial" w:hAnsi="Arial" w:cs="Arial"/>
        </w:rPr>
        <w:t>acciones del artículo 1</w:t>
      </w:r>
      <w:r w:rsidR="00EE3F6D" w:rsidRPr="00B92499">
        <w:rPr>
          <w:rFonts w:ascii="Arial" w:hAnsi="Arial" w:cs="Arial"/>
        </w:rPr>
        <w:t xml:space="preserve">25 </w:t>
      </w:r>
      <w:r w:rsidRPr="00B92499">
        <w:rPr>
          <w:rFonts w:ascii="Arial" w:hAnsi="Arial" w:cs="Arial"/>
        </w:rPr>
        <w:t>alcanzó un ICP de 100%</w:t>
      </w:r>
    </w:p>
    <w:p w14:paraId="21445F2D" w14:textId="1C588DFF" w:rsidR="00323ABF" w:rsidRPr="00B92499" w:rsidRDefault="00323ABF" w:rsidP="00323ABF">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w:t>
      </w:r>
      <w:r w:rsidR="00EE3F6D" w:rsidRPr="00B92499">
        <w:rPr>
          <w:rFonts w:ascii="Arial" w:hAnsi="Arial" w:cs="Arial"/>
        </w:rPr>
        <w:t>25</w:t>
      </w:r>
      <w:r w:rsidR="00490622" w:rsidRPr="00B92499">
        <w:rPr>
          <w:rFonts w:ascii="Arial" w:hAnsi="Arial" w:cs="Arial"/>
        </w:rPr>
        <w:t>,</w:t>
      </w:r>
      <w:r w:rsidRPr="00B92499">
        <w:rPr>
          <w:rFonts w:ascii="Arial" w:hAnsi="Arial" w:cs="Arial"/>
        </w:rPr>
        <w:t xml:space="preserve"> es presentada la siguiente tabla ordenada de forma descendente.</w:t>
      </w:r>
    </w:p>
    <w:tbl>
      <w:tblPr>
        <w:tblW w:w="8931" w:type="dxa"/>
        <w:tblCellMar>
          <w:left w:w="70" w:type="dxa"/>
          <w:right w:w="70" w:type="dxa"/>
        </w:tblCellMar>
        <w:tblLook w:val="04A0" w:firstRow="1" w:lastRow="0" w:firstColumn="1" w:lastColumn="0" w:noHBand="0" w:noVBand="1"/>
      </w:tblPr>
      <w:tblGrid>
        <w:gridCol w:w="974"/>
        <w:gridCol w:w="7183"/>
        <w:gridCol w:w="775"/>
      </w:tblGrid>
      <w:tr w:rsidR="00323ABF" w:rsidRPr="00B92499" w14:paraId="5182E9E8" w14:textId="77777777" w:rsidTr="00EE3F6D">
        <w:trPr>
          <w:trHeight w:val="20"/>
          <w:tblHeader/>
        </w:trPr>
        <w:tc>
          <w:tcPr>
            <w:tcW w:w="8931"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7040D66" w14:textId="00EB6112"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Artículo 1</w:t>
            </w:r>
            <w:r w:rsidR="00EE3F6D" w:rsidRPr="00B92499">
              <w:rPr>
                <w:rFonts w:ascii="Arial" w:hAnsi="Arial" w:cs="Arial"/>
                <w:b/>
                <w:bCs/>
                <w:color w:val="000000"/>
                <w:sz w:val="20"/>
                <w:szCs w:val="20"/>
              </w:rPr>
              <w:t xml:space="preserve">25 </w:t>
            </w:r>
            <w:r w:rsidRPr="00B92499">
              <w:rPr>
                <w:rFonts w:ascii="Arial" w:hAnsi="Arial" w:cs="Arial"/>
                <w:b/>
                <w:bCs/>
                <w:color w:val="000000"/>
                <w:sz w:val="20"/>
                <w:szCs w:val="20"/>
              </w:rPr>
              <w:t xml:space="preserve">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323ABF" w:rsidRPr="00B92499" w14:paraId="114049A9" w14:textId="77777777" w:rsidTr="00EE3F6D">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265439AE"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08359E3B"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229" w:type="dxa"/>
            <w:tcBorders>
              <w:top w:val="nil"/>
              <w:left w:val="nil"/>
              <w:bottom w:val="single" w:sz="4" w:space="0" w:color="auto"/>
              <w:right w:val="single" w:sz="4" w:space="0" w:color="auto"/>
            </w:tcBorders>
            <w:shd w:val="clear" w:color="auto" w:fill="00B0F0"/>
            <w:vAlign w:val="center"/>
            <w:hideMark/>
          </w:tcPr>
          <w:p w14:paraId="0C0404FE" w14:textId="77777777" w:rsidR="00323ABF" w:rsidRPr="00B92499" w:rsidRDefault="00323ABF" w:rsidP="00EE3F6D">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EE3F6D" w:rsidRPr="00B92499" w14:paraId="05ABCDB0"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63D69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2F2D1762" w14:textId="64046465"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El padrón de cabilderos de acuerdo con la normatividad aplicable.</w:t>
            </w:r>
          </w:p>
        </w:tc>
        <w:tc>
          <w:tcPr>
            <w:tcW w:w="1229" w:type="dxa"/>
            <w:tcBorders>
              <w:top w:val="nil"/>
              <w:left w:val="nil"/>
              <w:bottom w:val="single" w:sz="4" w:space="0" w:color="auto"/>
              <w:right w:val="single" w:sz="4" w:space="0" w:color="auto"/>
            </w:tcBorders>
            <w:shd w:val="clear" w:color="auto" w:fill="auto"/>
            <w:vAlign w:val="center"/>
            <w:hideMark/>
          </w:tcPr>
          <w:p w14:paraId="6FE6D5FA"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69E24CE0"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FE81C6"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00C5628C" w14:textId="178C5A59"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Solicitudes presentadas de licencias temporales y definitivas.</w:t>
            </w:r>
          </w:p>
        </w:tc>
        <w:tc>
          <w:tcPr>
            <w:tcW w:w="1229" w:type="dxa"/>
            <w:tcBorders>
              <w:top w:val="nil"/>
              <w:left w:val="nil"/>
              <w:bottom w:val="single" w:sz="4" w:space="0" w:color="auto"/>
              <w:right w:val="single" w:sz="4" w:space="0" w:color="auto"/>
            </w:tcBorders>
            <w:shd w:val="clear" w:color="auto" w:fill="auto"/>
            <w:vAlign w:val="center"/>
            <w:hideMark/>
          </w:tcPr>
          <w:p w14:paraId="2F6251A1"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6BD9C917"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AC2C58"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4D2DEA9C" w14:textId="7E72D222"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Reconocimientos otorgados por parte del órgano legislativo.</w:t>
            </w:r>
          </w:p>
        </w:tc>
        <w:tc>
          <w:tcPr>
            <w:tcW w:w="1229" w:type="dxa"/>
            <w:tcBorders>
              <w:top w:val="nil"/>
              <w:left w:val="nil"/>
              <w:bottom w:val="single" w:sz="4" w:space="0" w:color="auto"/>
              <w:right w:val="single" w:sz="4" w:space="0" w:color="auto"/>
            </w:tcBorders>
            <w:shd w:val="clear" w:color="auto" w:fill="auto"/>
            <w:vAlign w:val="center"/>
            <w:hideMark/>
          </w:tcPr>
          <w:p w14:paraId="758E36D0"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01075BB1"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045731"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4A91B290" w14:textId="15F45F56"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versiones públicas de la información entregada en las audiencias públicas, comparecencias y en los procedimientos de designación, ratificación, elección, reelección o cualquier otro.</w:t>
            </w:r>
          </w:p>
        </w:tc>
        <w:tc>
          <w:tcPr>
            <w:tcW w:w="1229" w:type="dxa"/>
            <w:tcBorders>
              <w:top w:val="nil"/>
              <w:left w:val="nil"/>
              <w:bottom w:val="single" w:sz="4" w:space="0" w:color="auto"/>
              <w:right w:val="single" w:sz="4" w:space="0" w:color="auto"/>
            </w:tcBorders>
            <w:shd w:val="clear" w:color="auto" w:fill="auto"/>
            <w:vAlign w:val="center"/>
            <w:hideMark/>
          </w:tcPr>
          <w:p w14:paraId="527C2E41"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1D0D4AB3"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55543E"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6E8D982D" w14:textId="5AFA18D1"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Informe de los viajes oficiales, nacionales y al extranjero, de los Diputados y Diputadas o del personal de las unidades administrativas.</w:t>
            </w:r>
          </w:p>
        </w:tc>
        <w:tc>
          <w:tcPr>
            <w:tcW w:w="1229" w:type="dxa"/>
            <w:tcBorders>
              <w:top w:val="nil"/>
              <w:left w:val="nil"/>
              <w:bottom w:val="single" w:sz="4" w:space="0" w:color="auto"/>
              <w:right w:val="single" w:sz="4" w:space="0" w:color="auto"/>
            </w:tcBorders>
            <w:shd w:val="clear" w:color="auto" w:fill="auto"/>
            <w:vAlign w:val="center"/>
            <w:hideMark/>
          </w:tcPr>
          <w:p w14:paraId="4913F0E5"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37E471CA"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F76FC6"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2C87C1FE" w14:textId="4796FB11"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El monto ejercido y detallado de recursos públicos que se reciban para los informes de actividades de cada una de las y los Diputados.</w:t>
            </w:r>
          </w:p>
        </w:tc>
        <w:tc>
          <w:tcPr>
            <w:tcW w:w="1229" w:type="dxa"/>
            <w:tcBorders>
              <w:top w:val="nil"/>
              <w:left w:val="nil"/>
              <w:bottom w:val="single" w:sz="4" w:space="0" w:color="auto"/>
              <w:right w:val="single" w:sz="4" w:space="0" w:color="auto"/>
            </w:tcBorders>
            <w:shd w:val="clear" w:color="auto" w:fill="auto"/>
            <w:vAlign w:val="center"/>
            <w:hideMark/>
          </w:tcPr>
          <w:p w14:paraId="6F29F68D"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5A3864BB"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EE21E2"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3796AA3A" w14:textId="062A9FA9"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 integración del órgano que conduce las sesiones del Pleno, el órgano colegiado de gobierno que dirige el ejercicio de las funciones legislativas, políticas y administrativas del Poder legislativo, así como la Diputación Permanente que entra en funciones en los periodos de receso, indicar de cada uno el periodo de vigencia de dicha integración, especificando fechas.</w:t>
            </w:r>
          </w:p>
        </w:tc>
        <w:tc>
          <w:tcPr>
            <w:tcW w:w="1229" w:type="dxa"/>
            <w:tcBorders>
              <w:top w:val="nil"/>
              <w:left w:val="nil"/>
              <w:bottom w:val="single" w:sz="4" w:space="0" w:color="auto"/>
              <w:right w:val="single" w:sz="4" w:space="0" w:color="auto"/>
            </w:tcBorders>
            <w:shd w:val="clear" w:color="auto" w:fill="auto"/>
            <w:vAlign w:val="center"/>
            <w:hideMark/>
          </w:tcPr>
          <w:p w14:paraId="2A0D45B8"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592C2DB1"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7D3F50"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1FF2B0B0" w14:textId="2C3BB9C3"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Agenda legislativa.</w:t>
            </w:r>
          </w:p>
        </w:tc>
        <w:tc>
          <w:tcPr>
            <w:tcW w:w="1229" w:type="dxa"/>
            <w:tcBorders>
              <w:top w:val="nil"/>
              <w:left w:val="nil"/>
              <w:bottom w:val="single" w:sz="4" w:space="0" w:color="auto"/>
              <w:right w:val="single" w:sz="4" w:space="0" w:color="auto"/>
            </w:tcBorders>
            <w:shd w:val="clear" w:color="auto" w:fill="auto"/>
            <w:vAlign w:val="center"/>
            <w:hideMark/>
          </w:tcPr>
          <w:p w14:paraId="3C71147F"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079D8CCF"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E1CC2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lastRenderedPageBreak/>
              <w:t>X</w:t>
            </w:r>
          </w:p>
        </w:tc>
        <w:tc>
          <w:tcPr>
            <w:tcW w:w="0" w:type="auto"/>
            <w:tcBorders>
              <w:top w:val="nil"/>
              <w:left w:val="nil"/>
              <w:bottom w:val="single" w:sz="4" w:space="0" w:color="auto"/>
              <w:right w:val="single" w:sz="4" w:space="0" w:color="auto"/>
            </w:tcBorders>
            <w:shd w:val="clear" w:color="auto" w:fill="auto"/>
            <w:vAlign w:val="center"/>
            <w:hideMark/>
          </w:tcPr>
          <w:p w14:paraId="07628AE8" w14:textId="0A523D7E"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iniciativas de Ley o Decretos, Puntos de Acuerdo, la fecha en que se recibió, las Comisiones a las que se turnaron, los dictámenes que, en su caso, recaigan sobre las mismas.</w:t>
            </w:r>
          </w:p>
        </w:tc>
        <w:tc>
          <w:tcPr>
            <w:tcW w:w="1229" w:type="dxa"/>
            <w:tcBorders>
              <w:top w:val="nil"/>
              <w:left w:val="nil"/>
              <w:bottom w:val="single" w:sz="4" w:space="0" w:color="auto"/>
              <w:right w:val="single" w:sz="4" w:space="0" w:color="auto"/>
            </w:tcBorders>
            <w:shd w:val="clear" w:color="auto" w:fill="auto"/>
            <w:vAlign w:val="center"/>
            <w:hideMark/>
          </w:tcPr>
          <w:p w14:paraId="6A778E5E"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0A240BD5"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2FA0D0"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38392D92" w14:textId="100DC179"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Leyes, Decretos y Acuerdos aprobados por el Poder Legislativo de la Ciudad de México o por la Diputación Permanente.</w:t>
            </w:r>
          </w:p>
        </w:tc>
        <w:tc>
          <w:tcPr>
            <w:tcW w:w="1229" w:type="dxa"/>
            <w:tcBorders>
              <w:top w:val="nil"/>
              <w:left w:val="nil"/>
              <w:bottom w:val="single" w:sz="4" w:space="0" w:color="auto"/>
              <w:right w:val="single" w:sz="4" w:space="0" w:color="auto"/>
            </w:tcBorders>
            <w:shd w:val="clear" w:color="auto" w:fill="auto"/>
            <w:vAlign w:val="center"/>
            <w:hideMark/>
          </w:tcPr>
          <w:p w14:paraId="049603FF"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02243025"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E694B7"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5FE3FC02" w14:textId="3FA56B92"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El informe trimestral del ejercicio presupuestal del uso y destino de los recursos financieros de los Órganos de Gobierno, Comisiones, Comités, Grupos y fracciones Parlamentarios y centros de estudio u órganos de investigación.</w:t>
            </w:r>
          </w:p>
        </w:tc>
        <w:tc>
          <w:tcPr>
            <w:tcW w:w="1229" w:type="dxa"/>
            <w:tcBorders>
              <w:top w:val="nil"/>
              <w:left w:val="nil"/>
              <w:bottom w:val="single" w:sz="4" w:space="0" w:color="auto"/>
              <w:right w:val="single" w:sz="4" w:space="0" w:color="auto"/>
            </w:tcBorders>
            <w:shd w:val="clear" w:color="auto" w:fill="auto"/>
            <w:vAlign w:val="center"/>
            <w:hideMark/>
          </w:tcPr>
          <w:p w14:paraId="4847B629"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350BC50D"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57A879"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5AE70A2A" w14:textId="481C8DD1"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Metas y objetivos de las unidades administrativas y del órgano de control interno, así como un informe trimestral de su cumplimiento.</w:t>
            </w:r>
          </w:p>
        </w:tc>
        <w:tc>
          <w:tcPr>
            <w:tcW w:w="1229" w:type="dxa"/>
            <w:tcBorders>
              <w:top w:val="nil"/>
              <w:left w:val="nil"/>
              <w:bottom w:val="single" w:sz="4" w:space="0" w:color="auto"/>
              <w:right w:val="single" w:sz="4" w:space="0" w:color="auto"/>
            </w:tcBorders>
            <w:shd w:val="clear" w:color="auto" w:fill="auto"/>
            <w:vAlign w:val="center"/>
            <w:hideMark/>
          </w:tcPr>
          <w:p w14:paraId="6C7DE6CA"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7C4680D9"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934C55"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70E40CBA" w14:textId="0A79533C"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 dirección donde se encuentre ubicado el Módulo de Orientación y Quejas Ciudadanas de cada uno de las y los Diputados, así como el tipo y número de gestiones que presten.</w:t>
            </w:r>
          </w:p>
        </w:tc>
        <w:tc>
          <w:tcPr>
            <w:tcW w:w="1229" w:type="dxa"/>
            <w:tcBorders>
              <w:top w:val="nil"/>
              <w:left w:val="nil"/>
              <w:bottom w:val="single" w:sz="4" w:space="0" w:color="auto"/>
              <w:right w:val="single" w:sz="4" w:space="0" w:color="auto"/>
            </w:tcBorders>
            <w:shd w:val="clear" w:color="auto" w:fill="auto"/>
            <w:vAlign w:val="center"/>
            <w:hideMark/>
          </w:tcPr>
          <w:p w14:paraId="77C93015"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4B047F5E"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CA0256"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5BC880AC" w14:textId="6B7AE323"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resoluciones definitivas sobre juicios políticos y declaratorios de procedencia.</w:t>
            </w:r>
          </w:p>
        </w:tc>
        <w:tc>
          <w:tcPr>
            <w:tcW w:w="1229" w:type="dxa"/>
            <w:tcBorders>
              <w:top w:val="nil"/>
              <w:left w:val="nil"/>
              <w:bottom w:val="single" w:sz="4" w:space="0" w:color="auto"/>
              <w:right w:val="single" w:sz="4" w:space="0" w:color="auto"/>
            </w:tcBorders>
            <w:shd w:val="clear" w:color="auto" w:fill="auto"/>
            <w:vAlign w:val="center"/>
            <w:hideMark/>
          </w:tcPr>
          <w:p w14:paraId="35FD21BF"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2770CD38"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9710F8"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6C72A912" w14:textId="64689459"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Los informes periódicos de la actividad del Órgano de Control Interno en materia disciplinaria contra funcionarios o empleados.</w:t>
            </w:r>
          </w:p>
        </w:tc>
        <w:tc>
          <w:tcPr>
            <w:tcW w:w="1229" w:type="dxa"/>
            <w:tcBorders>
              <w:top w:val="nil"/>
              <w:left w:val="nil"/>
              <w:bottom w:val="single" w:sz="4" w:space="0" w:color="auto"/>
              <w:right w:val="single" w:sz="4" w:space="0" w:color="auto"/>
            </w:tcBorders>
            <w:shd w:val="clear" w:color="auto" w:fill="auto"/>
            <w:vAlign w:val="center"/>
            <w:hideMark/>
          </w:tcPr>
          <w:p w14:paraId="05CD1379"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100</w:t>
            </w:r>
          </w:p>
        </w:tc>
      </w:tr>
      <w:tr w:rsidR="00EE3F6D" w:rsidRPr="00B92499" w14:paraId="294B40FA"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7DA307"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47E41A89" w14:textId="1B10040F"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Orden del Día de las sesiones del Pleno, de las Comisiones y Comités.</w:t>
            </w:r>
          </w:p>
        </w:tc>
        <w:tc>
          <w:tcPr>
            <w:tcW w:w="1229" w:type="dxa"/>
            <w:tcBorders>
              <w:top w:val="nil"/>
              <w:left w:val="nil"/>
              <w:bottom w:val="single" w:sz="4" w:space="0" w:color="auto"/>
              <w:right w:val="single" w:sz="4" w:space="0" w:color="auto"/>
            </w:tcBorders>
            <w:shd w:val="clear" w:color="auto" w:fill="auto"/>
            <w:vAlign w:val="center"/>
            <w:hideMark/>
          </w:tcPr>
          <w:p w14:paraId="14DACF31" w14:textId="75FA7880"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99.5</w:t>
            </w:r>
            <w:r w:rsidR="00830529" w:rsidRPr="00B92499">
              <w:rPr>
                <w:rFonts w:ascii="Arial" w:hAnsi="Arial" w:cs="Arial"/>
                <w:color w:val="000000"/>
                <w:sz w:val="20"/>
                <w:szCs w:val="20"/>
              </w:rPr>
              <w:t>7</w:t>
            </w:r>
          </w:p>
        </w:tc>
      </w:tr>
      <w:tr w:rsidR="00EE3F6D" w:rsidRPr="00B92499" w14:paraId="1FCF00F3"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0876CF"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2AC2C1AF" w14:textId="5078723D"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Convocatorias, actas y acuerdos de cada una de las sesiones del Pleno, la Mesa Directiva, Órgano de Gobierno, las comisiones de análisis y dictamen legislativo o comités.</w:t>
            </w:r>
          </w:p>
        </w:tc>
        <w:tc>
          <w:tcPr>
            <w:tcW w:w="1229" w:type="dxa"/>
            <w:tcBorders>
              <w:top w:val="nil"/>
              <w:left w:val="nil"/>
              <w:bottom w:val="single" w:sz="4" w:space="0" w:color="auto"/>
              <w:right w:val="single" w:sz="4" w:space="0" w:color="auto"/>
            </w:tcBorders>
            <w:shd w:val="clear" w:color="auto" w:fill="auto"/>
            <w:vAlign w:val="center"/>
            <w:hideMark/>
          </w:tcPr>
          <w:p w14:paraId="0C8D324A" w14:textId="4E82B4DE"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98.9</w:t>
            </w:r>
            <w:r w:rsidR="00830529" w:rsidRPr="00B92499">
              <w:rPr>
                <w:rFonts w:ascii="Arial" w:hAnsi="Arial" w:cs="Arial"/>
                <w:color w:val="000000"/>
                <w:sz w:val="20"/>
                <w:szCs w:val="20"/>
              </w:rPr>
              <w:t>6</w:t>
            </w:r>
          </w:p>
        </w:tc>
      </w:tr>
      <w:tr w:rsidR="00EE3F6D" w:rsidRPr="00B92499" w14:paraId="0FA827CD"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64295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1493D2BE" w14:textId="37C3703E"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Los convenios, acuerdos de colaboración, contrataciones de servicios personales o figuras análogas que se celebren.</w:t>
            </w:r>
          </w:p>
        </w:tc>
        <w:tc>
          <w:tcPr>
            <w:tcW w:w="1229" w:type="dxa"/>
            <w:tcBorders>
              <w:top w:val="nil"/>
              <w:left w:val="nil"/>
              <w:bottom w:val="single" w:sz="4" w:space="0" w:color="auto"/>
              <w:right w:val="single" w:sz="4" w:space="0" w:color="auto"/>
            </w:tcBorders>
            <w:shd w:val="clear" w:color="auto" w:fill="auto"/>
            <w:vAlign w:val="center"/>
            <w:hideMark/>
          </w:tcPr>
          <w:p w14:paraId="06088377" w14:textId="43536185"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98.9</w:t>
            </w:r>
            <w:r w:rsidR="00830529" w:rsidRPr="00B92499">
              <w:rPr>
                <w:rFonts w:ascii="Arial" w:hAnsi="Arial" w:cs="Arial"/>
                <w:color w:val="000000"/>
                <w:sz w:val="20"/>
                <w:szCs w:val="20"/>
              </w:rPr>
              <w:t>6</w:t>
            </w:r>
          </w:p>
        </w:tc>
      </w:tr>
      <w:tr w:rsidR="00EE3F6D" w:rsidRPr="00B92499" w14:paraId="2252E052"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0BA675"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76FDBF2D" w14:textId="5FB5CB72"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 lista de los integrantes del comité de adquisiciones que vigila y/o revisa las compras, el método de selección de los integrantes descrito en el reglamento interno y el acta de instalación con el nombre de los integrantes, procedencia y cargos asignados.</w:t>
            </w:r>
          </w:p>
        </w:tc>
        <w:tc>
          <w:tcPr>
            <w:tcW w:w="1229" w:type="dxa"/>
            <w:tcBorders>
              <w:top w:val="nil"/>
              <w:left w:val="nil"/>
              <w:bottom w:val="single" w:sz="4" w:space="0" w:color="auto"/>
              <w:right w:val="single" w:sz="4" w:space="0" w:color="auto"/>
            </w:tcBorders>
            <w:shd w:val="clear" w:color="auto" w:fill="auto"/>
            <w:vAlign w:val="center"/>
            <w:hideMark/>
          </w:tcPr>
          <w:p w14:paraId="7F9C1808" w14:textId="77777777"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98.75</w:t>
            </w:r>
          </w:p>
        </w:tc>
      </w:tr>
      <w:tr w:rsidR="00EE3F6D" w:rsidRPr="00B92499" w14:paraId="5CF1AFB3"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74758A"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6ECE2179" w14:textId="5C4AB4D8"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Los demás informes que deban presentarse conforme a su Ley Orgánica y demás normatividad interna.</w:t>
            </w:r>
          </w:p>
        </w:tc>
        <w:tc>
          <w:tcPr>
            <w:tcW w:w="1229" w:type="dxa"/>
            <w:tcBorders>
              <w:top w:val="nil"/>
              <w:left w:val="nil"/>
              <w:bottom w:val="single" w:sz="4" w:space="0" w:color="auto"/>
              <w:right w:val="single" w:sz="4" w:space="0" w:color="auto"/>
            </w:tcBorders>
            <w:shd w:val="clear" w:color="auto" w:fill="auto"/>
            <w:vAlign w:val="center"/>
            <w:hideMark/>
          </w:tcPr>
          <w:p w14:paraId="74E6FFD6" w14:textId="1FDEE8C3"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98.4</w:t>
            </w:r>
            <w:r w:rsidR="00830529" w:rsidRPr="00B92499">
              <w:rPr>
                <w:rFonts w:ascii="Arial" w:hAnsi="Arial" w:cs="Arial"/>
                <w:color w:val="000000"/>
                <w:sz w:val="20"/>
                <w:szCs w:val="20"/>
              </w:rPr>
              <w:t>4</w:t>
            </w:r>
          </w:p>
        </w:tc>
      </w:tr>
      <w:tr w:rsidR="00EE3F6D" w:rsidRPr="00B92499" w14:paraId="3C07D2A4"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EE42B7"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55823468" w14:textId="3908B9E8"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 lista de asistencia a las sesiones del Pleno, Órgano de Gobierno y de Comisiones y Comités.</w:t>
            </w:r>
          </w:p>
        </w:tc>
        <w:tc>
          <w:tcPr>
            <w:tcW w:w="1229" w:type="dxa"/>
            <w:tcBorders>
              <w:top w:val="nil"/>
              <w:left w:val="nil"/>
              <w:bottom w:val="single" w:sz="4" w:space="0" w:color="auto"/>
              <w:right w:val="single" w:sz="4" w:space="0" w:color="auto"/>
            </w:tcBorders>
            <w:shd w:val="clear" w:color="auto" w:fill="auto"/>
            <w:vAlign w:val="center"/>
            <w:hideMark/>
          </w:tcPr>
          <w:p w14:paraId="7F215005" w14:textId="659BAB93"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98.3</w:t>
            </w:r>
            <w:r w:rsidR="00830529" w:rsidRPr="00B92499">
              <w:rPr>
                <w:rFonts w:ascii="Arial" w:hAnsi="Arial" w:cs="Arial"/>
                <w:color w:val="000000"/>
                <w:sz w:val="20"/>
                <w:szCs w:val="20"/>
              </w:rPr>
              <w:t>6</w:t>
            </w:r>
          </w:p>
        </w:tc>
      </w:tr>
      <w:tr w:rsidR="00EE3F6D" w:rsidRPr="00B92499" w14:paraId="311D381A"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28BD1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1CEBCBB7" w14:textId="1ED0C14A"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Convocatorias, Acta, Acuerdos, Lista de Asistencia y Votación de los diversos tipos de comisiones, comités y de las sesiones del Pleno.</w:t>
            </w:r>
          </w:p>
        </w:tc>
        <w:tc>
          <w:tcPr>
            <w:tcW w:w="1229" w:type="dxa"/>
            <w:tcBorders>
              <w:top w:val="nil"/>
              <w:left w:val="nil"/>
              <w:bottom w:val="single" w:sz="4" w:space="0" w:color="auto"/>
              <w:right w:val="single" w:sz="4" w:space="0" w:color="auto"/>
            </w:tcBorders>
            <w:shd w:val="clear" w:color="auto" w:fill="auto"/>
            <w:vAlign w:val="center"/>
            <w:hideMark/>
          </w:tcPr>
          <w:p w14:paraId="1CF2FE94" w14:textId="6EA2D08E"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98.3</w:t>
            </w:r>
            <w:r w:rsidR="00830529" w:rsidRPr="00B92499">
              <w:rPr>
                <w:rFonts w:ascii="Arial" w:hAnsi="Arial" w:cs="Arial"/>
                <w:color w:val="000000"/>
                <w:sz w:val="20"/>
                <w:szCs w:val="20"/>
              </w:rPr>
              <w:t>5</w:t>
            </w:r>
          </w:p>
        </w:tc>
      </w:tr>
      <w:tr w:rsidR="00EE3F6D" w:rsidRPr="00B92499" w14:paraId="1E089457"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FE0A19"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54D633F4" w14:textId="4993FCB6"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Ficha técnica por cada Diputado y Diputada.</w:t>
            </w:r>
          </w:p>
        </w:tc>
        <w:tc>
          <w:tcPr>
            <w:tcW w:w="1229" w:type="dxa"/>
            <w:tcBorders>
              <w:top w:val="nil"/>
              <w:left w:val="nil"/>
              <w:bottom w:val="single" w:sz="4" w:space="0" w:color="auto"/>
              <w:right w:val="single" w:sz="4" w:space="0" w:color="auto"/>
            </w:tcBorders>
            <w:shd w:val="clear" w:color="auto" w:fill="auto"/>
            <w:vAlign w:val="center"/>
            <w:hideMark/>
          </w:tcPr>
          <w:p w14:paraId="3893ED6F" w14:textId="7727BDB6"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98.33</w:t>
            </w:r>
          </w:p>
        </w:tc>
      </w:tr>
      <w:tr w:rsidR="00EE3F6D" w:rsidRPr="00B92499" w14:paraId="7AB0BAED"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2F9F5A"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2001200E" w14:textId="4D52C13C"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observaciones y acciones promovidas por la contraloría a órganos, dependencias, diputados, funcionarios, empleados, en el ejercicio y aplicación del gasto.</w:t>
            </w:r>
          </w:p>
        </w:tc>
        <w:tc>
          <w:tcPr>
            <w:tcW w:w="1229" w:type="dxa"/>
            <w:tcBorders>
              <w:top w:val="nil"/>
              <w:left w:val="nil"/>
              <w:bottom w:val="single" w:sz="4" w:space="0" w:color="auto"/>
              <w:right w:val="single" w:sz="4" w:space="0" w:color="auto"/>
            </w:tcBorders>
            <w:shd w:val="clear" w:color="auto" w:fill="auto"/>
            <w:vAlign w:val="center"/>
            <w:hideMark/>
          </w:tcPr>
          <w:p w14:paraId="66378330" w14:textId="4AA5DF22"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98.21</w:t>
            </w:r>
          </w:p>
        </w:tc>
      </w:tr>
      <w:tr w:rsidR="00EE3F6D" w:rsidRPr="00B92499" w14:paraId="632E8DF3"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0004EA"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40C977B9" w14:textId="7ACC02F2"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Los resultados de los estudios o investigaciones de naturaleza económica, política y social que realicen los centros de estudio o investigación legislativa.</w:t>
            </w:r>
          </w:p>
        </w:tc>
        <w:tc>
          <w:tcPr>
            <w:tcW w:w="1229" w:type="dxa"/>
            <w:tcBorders>
              <w:top w:val="nil"/>
              <w:left w:val="nil"/>
              <w:bottom w:val="single" w:sz="4" w:space="0" w:color="auto"/>
              <w:right w:val="single" w:sz="4" w:space="0" w:color="auto"/>
            </w:tcBorders>
            <w:shd w:val="clear" w:color="auto" w:fill="auto"/>
            <w:vAlign w:val="center"/>
            <w:hideMark/>
          </w:tcPr>
          <w:p w14:paraId="0C02D192" w14:textId="109485BF"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97.9</w:t>
            </w:r>
            <w:r w:rsidR="00830529" w:rsidRPr="00B92499">
              <w:rPr>
                <w:rFonts w:ascii="Arial" w:hAnsi="Arial" w:cs="Arial"/>
                <w:color w:val="000000"/>
                <w:sz w:val="20"/>
                <w:szCs w:val="20"/>
              </w:rPr>
              <w:t>2</w:t>
            </w:r>
          </w:p>
        </w:tc>
      </w:tr>
      <w:tr w:rsidR="00EE3F6D" w:rsidRPr="00B92499" w14:paraId="6E33CEB7"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08A129"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421B5B5D" w14:textId="7F99EA2F"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El Diario de Debates.</w:t>
            </w:r>
          </w:p>
        </w:tc>
        <w:tc>
          <w:tcPr>
            <w:tcW w:w="1229" w:type="dxa"/>
            <w:tcBorders>
              <w:top w:val="nil"/>
              <w:left w:val="nil"/>
              <w:bottom w:val="single" w:sz="4" w:space="0" w:color="auto"/>
              <w:right w:val="single" w:sz="4" w:space="0" w:color="auto"/>
            </w:tcBorders>
            <w:shd w:val="clear" w:color="auto" w:fill="auto"/>
            <w:vAlign w:val="center"/>
            <w:hideMark/>
          </w:tcPr>
          <w:p w14:paraId="2E8CE4D7" w14:textId="2CDBB64C"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97.02</w:t>
            </w:r>
          </w:p>
        </w:tc>
      </w:tr>
      <w:tr w:rsidR="00EE3F6D" w:rsidRPr="00B92499" w14:paraId="5AB29B07"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8E2EA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6DA187C6" w14:textId="4EB9F90C"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versiones estenográficas del Pleno, Mesa Directiva, Comisiones (permanente, ordinarias y especiales) y Comités.</w:t>
            </w:r>
          </w:p>
        </w:tc>
        <w:tc>
          <w:tcPr>
            <w:tcW w:w="1229" w:type="dxa"/>
            <w:tcBorders>
              <w:top w:val="nil"/>
              <w:left w:val="nil"/>
              <w:bottom w:val="single" w:sz="4" w:space="0" w:color="auto"/>
              <w:right w:val="single" w:sz="4" w:space="0" w:color="auto"/>
            </w:tcBorders>
            <w:shd w:val="clear" w:color="auto" w:fill="auto"/>
            <w:vAlign w:val="center"/>
            <w:hideMark/>
          </w:tcPr>
          <w:p w14:paraId="68E2AA78" w14:textId="40CF1F7F"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96.9</w:t>
            </w:r>
            <w:r w:rsidR="00830529" w:rsidRPr="00B92499">
              <w:rPr>
                <w:rFonts w:ascii="Arial" w:hAnsi="Arial" w:cs="Arial"/>
                <w:color w:val="000000"/>
                <w:sz w:val="20"/>
                <w:szCs w:val="20"/>
              </w:rPr>
              <w:t>3</w:t>
            </w:r>
          </w:p>
        </w:tc>
      </w:tr>
      <w:tr w:rsidR="00EE3F6D" w:rsidRPr="00B92499" w14:paraId="5297FB08"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F248CB"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39DF40C7" w14:textId="4F941175"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Las contrataciones de asesorías y servicios personales de los Órganos de Gobierno, Comisiones, Comités, Grupos Parlamentarios y centros de estudio u órganos de investigación.</w:t>
            </w:r>
          </w:p>
        </w:tc>
        <w:tc>
          <w:tcPr>
            <w:tcW w:w="1229" w:type="dxa"/>
            <w:tcBorders>
              <w:top w:val="nil"/>
              <w:left w:val="nil"/>
              <w:bottom w:val="single" w:sz="4" w:space="0" w:color="auto"/>
              <w:right w:val="single" w:sz="4" w:space="0" w:color="auto"/>
            </w:tcBorders>
            <w:shd w:val="clear" w:color="auto" w:fill="auto"/>
            <w:vAlign w:val="center"/>
            <w:hideMark/>
          </w:tcPr>
          <w:p w14:paraId="44C4F280" w14:textId="64F828CC"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96.56</w:t>
            </w:r>
          </w:p>
        </w:tc>
      </w:tr>
      <w:tr w:rsidR="00EE3F6D" w:rsidRPr="00B92499" w14:paraId="5023BF87"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863647"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56DD0980" w14:textId="7E6E9602"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Gaceta Parlamentaria.</w:t>
            </w:r>
          </w:p>
        </w:tc>
        <w:tc>
          <w:tcPr>
            <w:tcW w:w="1229" w:type="dxa"/>
            <w:tcBorders>
              <w:top w:val="nil"/>
              <w:left w:val="nil"/>
              <w:bottom w:val="single" w:sz="4" w:space="0" w:color="auto"/>
              <w:right w:val="single" w:sz="4" w:space="0" w:color="auto"/>
            </w:tcBorders>
            <w:shd w:val="clear" w:color="auto" w:fill="auto"/>
            <w:vAlign w:val="center"/>
            <w:hideMark/>
          </w:tcPr>
          <w:p w14:paraId="78C246D1" w14:textId="1F41F5E6"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95.83</w:t>
            </w:r>
          </w:p>
        </w:tc>
      </w:tr>
      <w:tr w:rsidR="00EE3F6D" w:rsidRPr="00B92499" w14:paraId="6AB705E3"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7784C6"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XXXV</w:t>
            </w:r>
          </w:p>
        </w:tc>
        <w:tc>
          <w:tcPr>
            <w:tcW w:w="0" w:type="auto"/>
            <w:tcBorders>
              <w:top w:val="nil"/>
              <w:left w:val="nil"/>
              <w:bottom w:val="single" w:sz="4" w:space="0" w:color="auto"/>
              <w:right w:val="single" w:sz="4" w:space="0" w:color="auto"/>
            </w:tcBorders>
            <w:shd w:val="clear" w:color="auto" w:fill="auto"/>
            <w:vAlign w:val="center"/>
            <w:hideMark/>
          </w:tcPr>
          <w:p w14:paraId="322D5488" w14:textId="77777777"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Una descripción general del proceso legislativo.</w:t>
            </w:r>
          </w:p>
        </w:tc>
        <w:tc>
          <w:tcPr>
            <w:tcW w:w="1229" w:type="dxa"/>
            <w:tcBorders>
              <w:top w:val="nil"/>
              <w:left w:val="nil"/>
              <w:bottom w:val="single" w:sz="4" w:space="0" w:color="auto"/>
              <w:right w:val="single" w:sz="4" w:space="0" w:color="auto"/>
            </w:tcBorders>
            <w:shd w:val="clear" w:color="auto" w:fill="auto"/>
            <w:vAlign w:val="center"/>
            <w:hideMark/>
          </w:tcPr>
          <w:p w14:paraId="1010AC84" w14:textId="40833F96"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95.83</w:t>
            </w:r>
          </w:p>
        </w:tc>
      </w:tr>
      <w:tr w:rsidR="00EE3F6D" w:rsidRPr="00B92499" w14:paraId="5143EFB8"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69CFAD"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1850DD24" w14:textId="737DC921"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Agenda Legislativa de los Grupos Parlamentarios.</w:t>
            </w:r>
          </w:p>
        </w:tc>
        <w:tc>
          <w:tcPr>
            <w:tcW w:w="1229" w:type="dxa"/>
            <w:tcBorders>
              <w:top w:val="nil"/>
              <w:left w:val="nil"/>
              <w:bottom w:val="single" w:sz="4" w:space="0" w:color="auto"/>
              <w:right w:val="single" w:sz="4" w:space="0" w:color="auto"/>
            </w:tcBorders>
            <w:shd w:val="clear" w:color="auto" w:fill="auto"/>
            <w:vAlign w:val="center"/>
            <w:hideMark/>
          </w:tcPr>
          <w:p w14:paraId="714077E1" w14:textId="062B3ED4"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89.46</w:t>
            </w:r>
          </w:p>
        </w:tc>
      </w:tr>
      <w:tr w:rsidR="00EE3F6D" w:rsidRPr="00B92499" w14:paraId="21286F96"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03EC9"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3F856FCC" w14:textId="3B99E150"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Asignación y destino final de los bienes materiales.</w:t>
            </w:r>
          </w:p>
        </w:tc>
        <w:tc>
          <w:tcPr>
            <w:tcW w:w="1229" w:type="dxa"/>
            <w:tcBorders>
              <w:top w:val="nil"/>
              <w:left w:val="nil"/>
              <w:bottom w:val="single" w:sz="4" w:space="0" w:color="auto"/>
              <w:right w:val="single" w:sz="4" w:space="0" w:color="auto"/>
            </w:tcBorders>
            <w:shd w:val="clear" w:color="auto" w:fill="auto"/>
            <w:vAlign w:val="center"/>
            <w:hideMark/>
          </w:tcPr>
          <w:p w14:paraId="7D1EC996" w14:textId="4415FC9E"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87.5</w:t>
            </w:r>
            <w:r w:rsidR="00830529" w:rsidRPr="00B92499">
              <w:rPr>
                <w:rFonts w:ascii="Arial" w:hAnsi="Arial" w:cs="Arial"/>
                <w:color w:val="000000"/>
                <w:sz w:val="20"/>
                <w:szCs w:val="20"/>
              </w:rPr>
              <w:t>0</w:t>
            </w:r>
          </w:p>
        </w:tc>
      </w:tr>
      <w:tr w:rsidR="00EE3F6D" w:rsidRPr="00B92499" w14:paraId="6BF04CAF"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4D9D25"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67924B23" w14:textId="45F27D28"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Los recursos económicos, el proceso de asignación y los capítulos y partidas de gasto pertenecientes a ese total; así como los informes que éstos presenten sobre su uso y destino final.</w:t>
            </w:r>
          </w:p>
        </w:tc>
        <w:tc>
          <w:tcPr>
            <w:tcW w:w="1229" w:type="dxa"/>
            <w:tcBorders>
              <w:top w:val="nil"/>
              <w:left w:val="nil"/>
              <w:bottom w:val="single" w:sz="4" w:space="0" w:color="auto"/>
              <w:right w:val="single" w:sz="4" w:space="0" w:color="auto"/>
            </w:tcBorders>
            <w:shd w:val="clear" w:color="auto" w:fill="auto"/>
            <w:vAlign w:val="center"/>
            <w:hideMark/>
          </w:tcPr>
          <w:p w14:paraId="72596E7B" w14:textId="1A891CAE" w:rsidR="00EE3F6D" w:rsidRPr="00B92499" w:rsidRDefault="00EE3F6D" w:rsidP="00830529">
            <w:pPr>
              <w:jc w:val="center"/>
              <w:rPr>
                <w:rFonts w:ascii="Arial" w:hAnsi="Arial" w:cs="Arial"/>
                <w:color w:val="000000"/>
                <w:sz w:val="20"/>
                <w:szCs w:val="20"/>
              </w:rPr>
            </w:pPr>
            <w:r w:rsidRPr="00B92499">
              <w:rPr>
                <w:rFonts w:ascii="Arial" w:hAnsi="Arial" w:cs="Arial"/>
                <w:color w:val="000000"/>
                <w:sz w:val="20"/>
                <w:szCs w:val="20"/>
              </w:rPr>
              <w:t>86.11</w:t>
            </w:r>
          </w:p>
        </w:tc>
      </w:tr>
      <w:tr w:rsidR="00EE3F6D" w:rsidRPr="00B92499" w14:paraId="5F678E99"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BAB3E8"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lastRenderedPageBreak/>
              <w:t>XXII</w:t>
            </w:r>
          </w:p>
        </w:tc>
        <w:tc>
          <w:tcPr>
            <w:tcW w:w="0" w:type="auto"/>
            <w:tcBorders>
              <w:top w:val="nil"/>
              <w:left w:val="nil"/>
              <w:bottom w:val="single" w:sz="4" w:space="0" w:color="auto"/>
              <w:right w:val="single" w:sz="4" w:space="0" w:color="auto"/>
            </w:tcBorders>
            <w:shd w:val="clear" w:color="auto" w:fill="auto"/>
            <w:vAlign w:val="center"/>
            <w:hideMark/>
          </w:tcPr>
          <w:p w14:paraId="2194BF7F" w14:textId="0AE3594C"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 xml:space="preserve">Los dictámenes de cuenta </w:t>
            </w:r>
            <w:r w:rsidR="00C7683E" w:rsidRPr="00B92499">
              <w:rPr>
                <w:rFonts w:ascii="Arial" w:hAnsi="Arial" w:cs="Arial"/>
                <w:color w:val="000000"/>
                <w:sz w:val="20"/>
                <w:szCs w:val="20"/>
              </w:rPr>
              <w:t>pública,</w:t>
            </w:r>
            <w:r w:rsidRPr="00B92499">
              <w:rPr>
                <w:rFonts w:ascii="Arial" w:hAnsi="Arial" w:cs="Arial"/>
                <w:color w:val="000000"/>
                <w:sz w:val="20"/>
                <w:szCs w:val="20"/>
              </w:rPr>
              <w:t xml:space="preserve"> así como los estados financieros y demás información que los órganos de fiscalización superior utilizan para emitir dichos dictámenes.</w:t>
            </w:r>
          </w:p>
        </w:tc>
        <w:tc>
          <w:tcPr>
            <w:tcW w:w="1229" w:type="dxa"/>
            <w:tcBorders>
              <w:top w:val="nil"/>
              <w:left w:val="nil"/>
              <w:bottom w:val="single" w:sz="4" w:space="0" w:color="auto"/>
              <w:right w:val="single" w:sz="4" w:space="0" w:color="auto"/>
            </w:tcBorders>
            <w:shd w:val="clear" w:color="auto" w:fill="auto"/>
            <w:vAlign w:val="center"/>
            <w:hideMark/>
          </w:tcPr>
          <w:p w14:paraId="62833A7C" w14:textId="191E0C8A"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50</w:t>
            </w:r>
            <w:r w:rsidR="00830529" w:rsidRPr="00B92499">
              <w:rPr>
                <w:rFonts w:ascii="Arial" w:hAnsi="Arial" w:cs="Arial"/>
                <w:color w:val="000000"/>
                <w:sz w:val="20"/>
                <w:szCs w:val="20"/>
              </w:rPr>
              <w:t>.00</w:t>
            </w:r>
          </w:p>
        </w:tc>
      </w:tr>
      <w:tr w:rsidR="00EE3F6D" w:rsidRPr="00B92499" w14:paraId="3B89D18D" w14:textId="77777777" w:rsidTr="00EE3F6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D65E79" w14:textId="77777777" w:rsidR="00EE3F6D" w:rsidRPr="00B92499" w:rsidRDefault="00EE3F6D">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14F30819" w14:textId="73E411D5" w:rsidR="00EE3F6D" w:rsidRPr="00B92499" w:rsidRDefault="00EE3F6D" w:rsidP="00EE3F6D">
            <w:pPr>
              <w:jc w:val="both"/>
              <w:rPr>
                <w:rFonts w:ascii="Arial" w:hAnsi="Arial" w:cs="Arial"/>
                <w:color w:val="000000"/>
                <w:sz w:val="20"/>
                <w:szCs w:val="20"/>
              </w:rPr>
            </w:pPr>
            <w:r w:rsidRPr="00B92499">
              <w:rPr>
                <w:rFonts w:ascii="Arial" w:hAnsi="Arial" w:cs="Arial"/>
                <w:color w:val="000000"/>
                <w:sz w:val="20"/>
                <w:szCs w:val="20"/>
              </w:rPr>
              <w:t>El informe anual del ejercicio del gasto, que elabora el Comité de Administración, una vez que haya sido conocido por el Pleno.</w:t>
            </w:r>
          </w:p>
        </w:tc>
        <w:tc>
          <w:tcPr>
            <w:tcW w:w="1229" w:type="dxa"/>
            <w:tcBorders>
              <w:top w:val="nil"/>
              <w:left w:val="nil"/>
              <w:bottom w:val="single" w:sz="4" w:space="0" w:color="auto"/>
              <w:right w:val="single" w:sz="4" w:space="0" w:color="auto"/>
            </w:tcBorders>
            <w:shd w:val="clear" w:color="auto" w:fill="auto"/>
            <w:vAlign w:val="center"/>
            <w:hideMark/>
          </w:tcPr>
          <w:p w14:paraId="4A8A6D24" w14:textId="30D3CEFE" w:rsidR="00EE3F6D" w:rsidRPr="00B92499" w:rsidRDefault="00EE3F6D" w:rsidP="00EE3F6D">
            <w:pPr>
              <w:jc w:val="center"/>
              <w:rPr>
                <w:rFonts w:ascii="Arial" w:hAnsi="Arial" w:cs="Arial"/>
                <w:color w:val="000000"/>
                <w:sz w:val="20"/>
                <w:szCs w:val="20"/>
              </w:rPr>
            </w:pPr>
            <w:r w:rsidRPr="00B92499">
              <w:rPr>
                <w:rFonts w:ascii="Arial" w:hAnsi="Arial" w:cs="Arial"/>
                <w:color w:val="000000"/>
                <w:sz w:val="20"/>
                <w:szCs w:val="20"/>
              </w:rPr>
              <w:t>50</w:t>
            </w:r>
            <w:r w:rsidR="00830529" w:rsidRPr="00B92499">
              <w:rPr>
                <w:rFonts w:ascii="Arial" w:hAnsi="Arial" w:cs="Arial"/>
                <w:color w:val="000000"/>
                <w:sz w:val="20"/>
                <w:szCs w:val="20"/>
              </w:rPr>
              <w:t>.00</w:t>
            </w:r>
          </w:p>
        </w:tc>
      </w:tr>
    </w:tbl>
    <w:p w14:paraId="05609A20" w14:textId="77777777" w:rsidR="00323ABF" w:rsidRPr="00B92499" w:rsidRDefault="00323ABF" w:rsidP="00323ABF">
      <w:pPr>
        <w:rPr>
          <w:lang w:eastAsia="en-US"/>
        </w:rPr>
      </w:pPr>
    </w:p>
    <w:p w14:paraId="660565DC" w14:textId="536A6E69" w:rsidR="00323ABF" w:rsidRPr="00B92499" w:rsidRDefault="00323ABF" w:rsidP="009F64B5">
      <w:pPr>
        <w:pStyle w:val="Ttulo2"/>
        <w:numPr>
          <w:ilvl w:val="1"/>
          <w:numId w:val="22"/>
        </w:numPr>
        <w:contextualSpacing/>
        <w:jc w:val="both"/>
        <w:rPr>
          <w:rFonts w:ascii="Arial" w:hAnsi="Arial" w:cs="Arial"/>
          <w:b/>
          <w:color w:val="auto"/>
          <w:sz w:val="24"/>
          <w:szCs w:val="24"/>
        </w:rPr>
      </w:pPr>
      <w:bookmarkStart w:id="43" w:name="_Toc23252999"/>
      <w:r w:rsidRPr="00B92499">
        <w:rPr>
          <w:rFonts w:ascii="Arial" w:hAnsi="Arial" w:cs="Arial"/>
          <w:b/>
          <w:color w:val="auto"/>
          <w:sz w:val="24"/>
          <w:szCs w:val="24"/>
        </w:rPr>
        <w:t>Análisis de</w:t>
      </w:r>
      <w:r w:rsidR="00C7683E" w:rsidRPr="00B92499">
        <w:rPr>
          <w:rFonts w:ascii="Arial" w:hAnsi="Arial" w:cs="Arial"/>
          <w:b/>
          <w:color w:val="auto"/>
          <w:sz w:val="24"/>
          <w:szCs w:val="24"/>
        </w:rPr>
        <w:t xml:space="preserve"> </w:t>
      </w:r>
      <w:r w:rsidRPr="00B92499">
        <w:rPr>
          <w:rFonts w:ascii="Arial" w:hAnsi="Arial" w:cs="Arial"/>
          <w:b/>
          <w:color w:val="auto"/>
          <w:sz w:val="24"/>
          <w:szCs w:val="24"/>
        </w:rPr>
        <w:t>l</w:t>
      </w:r>
      <w:r w:rsidR="00C7683E" w:rsidRPr="00B92499">
        <w:rPr>
          <w:rFonts w:ascii="Arial" w:hAnsi="Arial" w:cs="Arial"/>
          <w:b/>
          <w:color w:val="auto"/>
          <w:sz w:val="24"/>
          <w:szCs w:val="24"/>
        </w:rPr>
        <w:t>os</w:t>
      </w:r>
      <w:r w:rsidRPr="00B92499">
        <w:rPr>
          <w:rFonts w:ascii="Arial" w:hAnsi="Arial" w:cs="Arial"/>
          <w:b/>
          <w:color w:val="auto"/>
          <w:sz w:val="24"/>
          <w:szCs w:val="24"/>
        </w:rPr>
        <w:t xml:space="preserve"> </w:t>
      </w:r>
      <w:r w:rsidR="008F67E4" w:rsidRPr="00B92499">
        <w:rPr>
          <w:rFonts w:ascii="Arial" w:hAnsi="Arial" w:cs="Arial"/>
          <w:b/>
          <w:color w:val="auto"/>
          <w:sz w:val="24"/>
          <w:szCs w:val="24"/>
        </w:rPr>
        <w:t>artículo</w:t>
      </w:r>
      <w:r w:rsidR="00C7683E" w:rsidRPr="00B92499">
        <w:rPr>
          <w:rFonts w:ascii="Arial" w:hAnsi="Arial" w:cs="Arial"/>
          <w:b/>
          <w:color w:val="auto"/>
          <w:sz w:val="24"/>
          <w:szCs w:val="24"/>
        </w:rPr>
        <w:t>s</w:t>
      </w:r>
      <w:r w:rsidRPr="00B92499">
        <w:rPr>
          <w:rFonts w:ascii="Arial" w:hAnsi="Arial" w:cs="Arial"/>
          <w:b/>
          <w:color w:val="auto"/>
          <w:sz w:val="24"/>
          <w:szCs w:val="24"/>
        </w:rPr>
        <w:t xml:space="preserve"> 145</w:t>
      </w:r>
      <w:r w:rsidR="00EE3F6D" w:rsidRPr="00B92499">
        <w:rPr>
          <w:rFonts w:ascii="Arial" w:hAnsi="Arial" w:cs="Arial"/>
          <w:b/>
          <w:color w:val="auto"/>
          <w:sz w:val="24"/>
          <w:szCs w:val="24"/>
        </w:rPr>
        <w:t xml:space="preserve"> y 146</w:t>
      </w:r>
      <w:bookmarkEnd w:id="43"/>
    </w:p>
    <w:p w14:paraId="78219783" w14:textId="3EE38B02" w:rsidR="00323ABF" w:rsidRPr="00B92499" w:rsidRDefault="00EE3F6D" w:rsidP="00323ABF">
      <w:pPr>
        <w:spacing w:before="100" w:beforeAutospacing="1" w:after="100" w:afterAutospacing="1" w:line="360" w:lineRule="auto"/>
        <w:contextualSpacing/>
        <w:jc w:val="both"/>
        <w:rPr>
          <w:rFonts w:ascii="Arial" w:hAnsi="Arial" w:cs="Arial"/>
        </w:rPr>
      </w:pPr>
      <w:r w:rsidRPr="00B92499">
        <w:rPr>
          <w:rFonts w:ascii="Arial" w:hAnsi="Arial" w:cs="Arial"/>
        </w:rPr>
        <w:t>El Congreso de la Ciudad de México alcanzó un cumplimiento total en los artículos 145 y 146, por lo que cumplió a ca</w:t>
      </w:r>
      <w:r w:rsidR="005D21D2" w:rsidRPr="00B92499">
        <w:rPr>
          <w:rFonts w:ascii="Arial" w:hAnsi="Arial" w:cs="Arial"/>
        </w:rPr>
        <w:t>balidad</w:t>
      </w:r>
      <w:r w:rsidRPr="00B92499">
        <w:rPr>
          <w:rFonts w:ascii="Arial" w:hAnsi="Arial" w:cs="Arial"/>
        </w:rPr>
        <w:t xml:space="preserve"> con la obligación de contar en su página de inicio con una señalización fácilmente identificable y accesible que cumplan con los requerimientos de sistematización, comprensión y organización de la información; así como con el calendario de actualización de las obligaciones de transparencia. </w:t>
      </w:r>
    </w:p>
    <w:p w14:paraId="594BC972" w14:textId="351AA4A3" w:rsidR="00323ABF" w:rsidRPr="00B92499" w:rsidRDefault="00323ABF" w:rsidP="009F64B5">
      <w:pPr>
        <w:pStyle w:val="Ttulo2"/>
        <w:numPr>
          <w:ilvl w:val="1"/>
          <w:numId w:val="22"/>
        </w:numPr>
        <w:contextualSpacing/>
        <w:jc w:val="both"/>
        <w:rPr>
          <w:rFonts w:ascii="Arial" w:hAnsi="Arial" w:cs="Arial"/>
          <w:b/>
          <w:color w:val="auto"/>
          <w:sz w:val="24"/>
          <w:szCs w:val="24"/>
        </w:rPr>
      </w:pPr>
      <w:bookmarkStart w:id="44" w:name="_Toc23253000"/>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147</w:t>
      </w:r>
      <w:bookmarkEnd w:id="44"/>
      <w:r w:rsidRPr="00B92499">
        <w:rPr>
          <w:rFonts w:ascii="Arial" w:hAnsi="Arial" w:cs="Arial"/>
          <w:b/>
          <w:color w:val="auto"/>
          <w:sz w:val="24"/>
          <w:szCs w:val="24"/>
        </w:rPr>
        <w:t xml:space="preserve"> </w:t>
      </w:r>
    </w:p>
    <w:p w14:paraId="4B7BF800" w14:textId="28C05A7C" w:rsidR="00323ABF" w:rsidRPr="00B92499" w:rsidRDefault="00EE3F6D" w:rsidP="00323ABF">
      <w:pPr>
        <w:spacing w:before="100" w:beforeAutospacing="1" w:after="100" w:afterAutospacing="1" w:line="360" w:lineRule="auto"/>
        <w:contextualSpacing/>
        <w:jc w:val="both"/>
        <w:rPr>
          <w:rFonts w:ascii="Arial" w:hAnsi="Arial" w:cs="Arial"/>
        </w:rPr>
      </w:pPr>
      <w:r w:rsidRPr="00B92499">
        <w:rPr>
          <w:rFonts w:ascii="Arial" w:hAnsi="Arial" w:cs="Arial"/>
        </w:rPr>
        <w:t>El Congreso</w:t>
      </w:r>
      <w:r w:rsidR="00323ABF" w:rsidRPr="00B92499">
        <w:rPr>
          <w:rFonts w:ascii="Arial" w:hAnsi="Arial" w:cs="Arial"/>
        </w:rPr>
        <w:t xml:space="preserve"> obtuvo un ICP en este artículo de </w:t>
      </w:r>
      <w:r w:rsidRPr="00B92499">
        <w:rPr>
          <w:rFonts w:ascii="Arial" w:hAnsi="Arial" w:cs="Arial"/>
        </w:rPr>
        <w:t>94.28</w:t>
      </w:r>
      <w:r w:rsidR="00323ABF" w:rsidRPr="00B92499">
        <w:rPr>
          <w:rFonts w:ascii="Arial" w:hAnsi="Arial" w:cs="Arial"/>
        </w:rPr>
        <w:t xml:space="preserve">%; por lo que se encuentra dentro del área de cumplimiento </w:t>
      </w:r>
      <w:r w:rsidRPr="00B92499">
        <w:rPr>
          <w:rFonts w:ascii="Arial" w:hAnsi="Arial" w:cs="Arial"/>
        </w:rPr>
        <w:t>parcial</w:t>
      </w:r>
      <w:r w:rsidR="00323ABF" w:rsidRPr="00B92499">
        <w:rPr>
          <w:rFonts w:ascii="Arial" w:hAnsi="Arial" w:cs="Arial"/>
        </w:rPr>
        <w:t xml:space="preserve"> en lo que respecta a la publicación de los informes de las personas morales, organizaciones de la sociedad civil o cualquier otro análogo que recibían recursos por cualquier concepto</w:t>
      </w:r>
      <w:r w:rsidRPr="00B92499">
        <w:rPr>
          <w:rFonts w:ascii="Arial" w:hAnsi="Arial" w:cs="Arial"/>
        </w:rPr>
        <w:t xml:space="preserve">; toda vez que </w:t>
      </w:r>
      <w:r w:rsidR="003864F7" w:rsidRPr="00B92499">
        <w:rPr>
          <w:rFonts w:ascii="Arial" w:hAnsi="Arial" w:cs="Arial"/>
        </w:rPr>
        <w:t xml:space="preserve">existen hipervínculos rotos y, por ende, no es posible acceder a cierta información que publican. </w:t>
      </w:r>
    </w:p>
    <w:p w14:paraId="6166B70A" w14:textId="77777777" w:rsidR="00323ABF" w:rsidRPr="00B92499" w:rsidRDefault="00323ABF" w:rsidP="00323ABF">
      <w:pPr>
        <w:spacing w:before="100" w:beforeAutospacing="1" w:after="100" w:afterAutospacing="1" w:line="360" w:lineRule="auto"/>
        <w:contextualSpacing/>
        <w:jc w:val="both"/>
        <w:rPr>
          <w:rFonts w:ascii="Arial" w:hAnsi="Arial" w:cs="Arial"/>
        </w:rPr>
      </w:pPr>
    </w:p>
    <w:p w14:paraId="17B4AEDD" w14:textId="77777777" w:rsidR="00AF69FA" w:rsidRPr="00B92499" w:rsidRDefault="00AF69FA" w:rsidP="002E7D47">
      <w:pPr>
        <w:contextualSpacing/>
        <w:rPr>
          <w:rFonts w:ascii="Arial" w:eastAsiaTheme="majorEastAsia" w:hAnsi="Arial" w:cs="Arial"/>
          <w:b/>
        </w:rPr>
      </w:pPr>
      <w:r w:rsidRPr="00B92499">
        <w:rPr>
          <w:rFonts w:ascii="Arial" w:hAnsi="Arial" w:cs="Arial"/>
          <w:b/>
        </w:rPr>
        <w:br w:type="page"/>
      </w:r>
    </w:p>
    <w:p w14:paraId="0912BEEB" w14:textId="1618620E" w:rsidR="000B0B2E" w:rsidRPr="00B92499" w:rsidRDefault="00AF69FA" w:rsidP="009F64B5">
      <w:pPr>
        <w:pStyle w:val="Ttulo1"/>
        <w:numPr>
          <w:ilvl w:val="0"/>
          <w:numId w:val="5"/>
        </w:numPr>
        <w:contextualSpacing/>
        <w:rPr>
          <w:rFonts w:ascii="Arial" w:hAnsi="Arial" w:cs="Arial"/>
          <w:b/>
          <w:color w:val="auto"/>
          <w:sz w:val="24"/>
          <w:szCs w:val="24"/>
        </w:rPr>
      </w:pPr>
      <w:bookmarkStart w:id="45" w:name="_Toc23253001"/>
      <w:r w:rsidRPr="00B92499">
        <w:rPr>
          <w:rFonts w:ascii="Arial" w:hAnsi="Arial" w:cs="Arial"/>
          <w:b/>
          <w:color w:val="auto"/>
          <w:sz w:val="24"/>
          <w:szCs w:val="24"/>
        </w:rPr>
        <w:lastRenderedPageBreak/>
        <w:t>ÓRGANOS AUTÓNOMOS</w:t>
      </w:r>
      <w:bookmarkEnd w:id="45"/>
      <w:r w:rsidRPr="00B92499">
        <w:rPr>
          <w:rFonts w:ascii="Arial" w:hAnsi="Arial" w:cs="Arial"/>
          <w:b/>
          <w:color w:val="auto"/>
          <w:sz w:val="24"/>
          <w:szCs w:val="24"/>
        </w:rPr>
        <w:t xml:space="preserve"> </w:t>
      </w:r>
    </w:p>
    <w:p w14:paraId="49964814" w14:textId="77777777" w:rsidR="000B0B2E" w:rsidRPr="00B92499" w:rsidRDefault="000B0B2E" w:rsidP="002E7D47">
      <w:pPr>
        <w:contextualSpacing/>
        <w:rPr>
          <w:rFonts w:ascii="Arial" w:hAnsi="Arial" w:cs="Arial"/>
          <w:b/>
        </w:rPr>
      </w:pPr>
    </w:p>
    <w:p w14:paraId="2558029B" w14:textId="0C4C3194"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El ámbito de los Órganos Autónomos está conformado por</w:t>
      </w:r>
      <w:r w:rsidR="000D67A7" w:rsidRPr="00B92499">
        <w:rPr>
          <w:rFonts w:ascii="Arial" w:hAnsi="Arial" w:cs="Arial"/>
        </w:rPr>
        <w:t xml:space="preserve"> 7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conformidad con el Padrón de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s supeditados al cumplimiento de la Ley de Transparencia, Acceso a la Información Pública y Rendición de Cuentas de la Ciudad de México</w:t>
      </w:r>
      <w:r w:rsidRPr="00B92499" w:rsidDel="005B5D1B">
        <w:rPr>
          <w:rFonts w:ascii="Arial" w:hAnsi="Arial" w:cs="Arial"/>
        </w:rPr>
        <w:t xml:space="preserve"> </w:t>
      </w:r>
      <w:r w:rsidRPr="00B92499">
        <w:rPr>
          <w:rFonts w:ascii="Arial" w:hAnsi="Arial" w:cs="Arial"/>
        </w:rPr>
        <w:t xml:space="preserve">y de la Ley de Protección de Datos Personales en Posesión de los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de la Ciudad de México vigente. No obstante, en este apartado únicamente se analizará al </w:t>
      </w:r>
      <w:r w:rsidR="00AA1246" w:rsidRPr="00B92499">
        <w:rPr>
          <w:rFonts w:ascii="Arial" w:hAnsi="Arial" w:cs="Arial"/>
        </w:rPr>
        <w:t>Instituto de Transparencia, Acceso a la Información Pública, Protección de Datos Personales y Rendición de Cuentas (Instituto)</w:t>
      </w:r>
      <w:r w:rsidRPr="00B92499">
        <w:rPr>
          <w:rFonts w:ascii="Arial" w:hAnsi="Arial" w:cs="Arial"/>
        </w:rPr>
        <w:t xml:space="preserve"> por haber sido incorporado recientemente al Padrón de </w:t>
      </w:r>
      <w:r w:rsidR="008710F6" w:rsidRPr="00B92499">
        <w:rPr>
          <w:rFonts w:ascii="Arial" w:hAnsi="Arial" w:cs="Arial"/>
        </w:rPr>
        <w:t>sujeto</w:t>
      </w:r>
      <w:r w:rsidRPr="00B92499">
        <w:rPr>
          <w:rFonts w:ascii="Arial" w:hAnsi="Arial" w:cs="Arial"/>
        </w:rPr>
        <w:t xml:space="preserve">s </w:t>
      </w:r>
      <w:r w:rsidR="008710F6" w:rsidRPr="00B92499">
        <w:rPr>
          <w:rFonts w:ascii="Arial" w:hAnsi="Arial" w:cs="Arial"/>
        </w:rPr>
        <w:t>obligado</w:t>
      </w:r>
      <w:r w:rsidRPr="00B92499">
        <w:rPr>
          <w:rFonts w:ascii="Arial" w:hAnsi="Arial" w:cs="Arial"/>
        </w:rPr>
        <w:t xml:space="preserve">s vigentes. </w:t>
      </w:r>
    </w:p>
    <w:p w14:paraId="3C68B7E5"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18639FE4" w14:textId="74B283B7"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8710F6" w:rsidRPr="00B92499">
        <w:rPr>
          <w:rFonts w:ascii="Arial" w:hAnsi="Arial" w:cs="Arial"/>
        </w:rPr>
        <w:t>sujeto obligado</w:t>
      </w:r>
      <w:r w:rsidRPr="00B92499">
        <w:rPr>
          <w:rFonts w:ascii="Arial" w:hAnsi="Arial" w:cs="Arial"/>
        </w:rPr>
        <w:t xml:space="preserve">,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(ICOT-PT),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40F99D2F" w14:textId="77777777" w:rsidR="000B0B2E" w:rsidRPr="00B92499" w:rsidRDefault="000B0B2E" w:rsidP="000B0B2E">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0B0B2E" w:rsidRPr="00B92499" w14:paraId="53FC0921" w14:textId="77777777" w:rsidTr="008710F6">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430FE61F"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0B0B2E" w:rsidRPr="00B92499" w14:paraId="50C34A02" w14:textId="77777777" w:rsidTr="008710F6">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6F716FA"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50391C15" w14:textId="737F58B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9F7325D"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%Inf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B53E05E"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 Nota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BD35409"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54BA799"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269799E"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36B5E7E"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914D52D"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F42EB2D"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544F04B" w14:textId="77777777" w:rsidR="000B0B2E" w:rsidRPr="00B92499" w:rsidRDefault="000B0B2E" w:rsidP="008710F6">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AA1246" w:rsidRPr="00B92499" w14:paraId="70573505" w14:textId="77777777" w:rsidTr="00AA1246">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618AA4CD"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1EE1415D" w14:textId="77777777" w:rsidR="00AA1246" w:rsidRPr="00B92499" w:rsidRDefault="00AA1246" w:rsidP="00AA1246">
            <w:pPr>
              <w:jc w:val="both"/>
              <w:rPr>
                <w:rFonts w:ascii="Arial" w:hAnsi="Arial" w:cs="Arial"/>
                <w:color w:val="000000"/>
                <w:sz w:val="16"/>
                <w:szCs w:val="16"/>
              </w:rPr>
            </w:pPr>
            <w:r w:rsidRPr="00B92499">
              <w:rPr>
                <w:rFonts w:ascii="Arial" w:hAnsi="Arial" w:cs="Arial"/>
                <w:color w:val="000000"/>
                <w:sz w:val="16"/>
                <w:szCs w:val="16"/>
              </w:rPr>
              <w:t>Instituto de Transparencia, Acceso a la Información Pública, Protección de Datos Personales y Rendición de Cuentas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42954E0C"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92.39</w:t>
            </w:r>
          </w:p>
        </w:tc>
        <w:tc>
          <w:tcPr>
            <w:tcW w:w="850" w:type="dxa"/>
            <w:tcBorders>
              <w:top w:val="nil"/>
              <w:left w:val="nil"/>
              <w:bottom w:val="single" w:sz="4" w:space="0" w:color="auto"/>
              <w:right w:val="single" w:sz="4" w:space="0" w:color="auto"/>
            </w:tcBorders>
            <w:shd w:val="clear" w:color="000000" w:fill="D9D9D9"/>
            <w:noWrap/>
            <w:vAlign w:val="center"/>
            <w:hideMark/>
          </w:tcPr>
          <w:p w14:paraId="74E00436"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4.77</w:t>
            </w:r>
          </w:p>
        </w:tc>
        <w:tc>
          <w:tcPr>
            <w:tcW w:w="850" w:type="dxa"/>
            <w:tcBorders>
              <w:top w:val="nil"/>
              <w:left w:val="nil"/>
              <w:bottom w:val="single" w:sz="4" w:space="0" w:color="auto"/>
              <w:right w:val="single" w:sz="4" w:space="0" w:color="auto"/>
            </w:tcBorders>
            <w:shd w:val="clear" w:color="auto" w:fill="auto"/>
            <w:noWrap/>
            <w:vAlign w:val="center"/>
            <w:hideMark/>
          </w:tcPr>
          <w:p w14:paraId="510E945C"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97.16</w:t>
            </w:r>
          </w:p>
        </w:tc>
        <w:tc>
          <w:tcPr>
            <w:tcW w:w="850" w:type="dxa"/>
            <w:tcBorders>
              <w:top w:val="nil"/>
              <w:left w:val="nil"/>
              <w:bottom w:val="single" w:sz="4" w:space="0" w:color="auto"/>
              <w:right w:val="single" w:sz="4" w:space="0" w:color="auto"/>
            </w:tcBorders>
            <w:shd w:val="clear" w:color="000000" w:fill="BDD7EE"/>
            <w:noWrap/>
            <w:vAlign w:val="center"/>
            <w:hideMark/>
          </w:tcPr>
          <w:p w14:paraId="375E7A4B"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91.19</w:t>
            </w:r>
          </w:p>
        </w:tc>
        <w:tc>
          <w:tcPr>
            <w:tcW w:w="850" w:type="dxa"/>
            <w:tcBorders>
              <w:top w:val="nil"/>
              <w:left w:val="nil"/>
              <w:bottom w:val="single" w:sz="4" w:space="0" w:color="auto"/>
              <w:right w:val="single" w:sz="4" w:space="0" w:color="auto"/>
            </w:tcBorders>
            <w:shd w:val="clear" w:color="000000" w:fill="D9D9D9"/>
            <w:noWrap/>
            <w:vAlign w:val="center"/>
            <w:hideMark/>
          </w:tcPr>
          <w:p w14:paraId="3E86662A"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4.14</w:t>
            </w:r>
          </w:p>
        </w:tc>
        <w:tc>
          <w:tcPr>
            <w:tcW w:w="850" w:type="dxa"/>
            <w:tcBorders>
              <w:top w:val="nil"/>
              <w:left w:val="nil"/>
              <w:bottom w:val="single" w:sz="4" w:space="0" w:color="auto"/>
              <w:right w:val="single" w:sz="4" w:space="0" w:color="auto"/>
            </w:tcBorders>
            <w:shd w:val="clear" w:color="auto" w:fill="auto"/>
            <w:noWrap/>
            <w:vAlign w:val="center"/>
            <w:hideMark/>
          </w:tcPr>
          <w:p w14:paraId="450A27B5"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95.32</w:t>
            </w:r>
          </w:p>
        </w:tc>
        <w:tc>
          <w:tcPr>
            <w:tcW w:w="850" w:type="dxa"/>
            <w:tcBorders>
              <w:top w:val="nil"/>
              <w:left w:val="nil"/>
              <w:bottom w:val="single" w:sz="4" w:space="0" w:color="auto"/>
              <w:right w:val="single" w:sz="4" w:space="0" w:color="auto"/>
            </w:tcBorders>
            <w:shd w:val="clear" w:color="000000" w:fill="BDD7EE"/>
            <w:noWrap/>
            <w:vAlign w:val="center"/>
            <w:hideMark/>
          </w:tcPr>
          <w:p w14:paraId="31A22B6A"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91.79</w:t>
            </w:r>
          </w:p>
        </w:tc>
        <w:tc>
          <w:tcPr>
            <w:tcW w:w="850" w:type="dxa"/>
            <w:tcBorders>
              <w:top w:val="nil"/>
              <w:left w:val="nil"/>
              <w:bottom w:val="single" w:sz="4" w:space="0" w:color="auto"/>
              <w:right w:val="single" w:sz="4" w:space="0" w:color="auto"/>
            </w:tcBorders>
            <w:shd w:val="clear" w:color="000000" w:fill="D9D9D9"/>
            <w:noWrap/>
            <w:vAlign w:val="center"/>
            <w:hideMark/>
          </w:tcPr>
          <w:p w14:paraId="3568411F"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4.45</w:t>
            </w:r>
          </w:p>
        </w:tc>
        <w:tc>
          <w:tcPr>
            <w:tcW w:w="850" w:type="dxa"/>
            <w:tcBorders>
              <w:top w:val="nil"/>
              <w:left w:val="nil"/>
              <w:bottom w:val="single" w:sz="4" w:space="0" w:color="auto"/>
              <w:right w:val="single" w:sz="4" w:space="0" w:color="auto"/>
            </w:tcBorders>
            <w:shd w:val="clear" w:color="auto" w:fill="auto"/>
            <w:noWrap/>
            <w:vAlign w:val="center"/>
            <w:hideMark/>
          </w:tcPr>
          <w:p w14:paraId="7B972444" w14:textId="77777777" w:rsidR="00AA1246" w:rsidRPr="00B92499" w:rsidRDefault="00AA1246">
            <w:pPr>
              <w:jc w:val="center"/>
              <w:rPr>
                <w:rFonts w:ascii="Arial" w:hAnsi="Arial" w:cs="Arial"/>
                <w:color w:val="000000"/>
                <w:sz w:val="16"/>
                <w:szCs w:val="16"/>
              </w:rPr>
            </w:pPr>
            <w:r w:rsidRPr="00B92499">
              <w:rPr>
                <w:rFonts w:ascii="Arial" w:hAnsi="Arial" w:cs="Arial"/>
                <w:color w:val="000000"/>
                <w:sz w:val="16"/>
                <w:szCs w:val="16"/>
              </w:rPr>
              <w:t>96.24</w:t>
            </w:r>
          </w:p>
        </w:tc>
      </w:tr>
    </w:tbl>
    <w:p w14:paraId="10D7D6D7" w14:textId="352C493F" w:rsidR="000B0B2E" w:rsidRPr="00B92499" w:rsidRDefault="000B0B2E" w:rsidP="000B0B2E">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4359AD07" w14:textId="77777777" w:rsidR="000B0B2E" w:rsidRPr="00B92499" w:rsidRDefault="000B0B2E" w:rsidP="000B0B2E">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624FC4DA" w14:textId="54E932B3"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al porcentaje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293FBAD6" w14:textId="02692E90"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CEF5CD7" w14:textId="68865925"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al porcentaje 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55C96751" w14:textId="566AB181"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2A8D65A5" w14:textId="6CC7BB69"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lastRenderedPageBreak/>
        <w:t>%Nota PNT: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D812EE8" w14:textId="189E8653" w:rsidR="000B0B2E" w:rsidRPr="00B92499" w:rsidRDefault="000B0B2E" w:rsidP="000B0B2E">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al porcentaje 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2FF12418"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51026DD5" w14:textId="5A2AC9AB"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la Tabla de Aplicabilidad realizada por la DEAEE del Instituto, las obligaciones que los sindicatos deben actualizar y publicar en el SIPOT de la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653C584C" w14:textId="38BD161C" w:rsidR="000B0B2E" w:rsidRPr="00B92499" w:rsidRDefault="000B0B2E" w:rsidP="009F64B5">
      <w:pPr>
        <w:pStyle w:val="Prrafodelista"/>
        <w:numPr>
          <w:ilvl w:val="0"/>
          <w:numId w:val="2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121. Obligaciones comunes,</w:t>
      </w:r>
    </w:p>
    <w:p w14:paraId="5714463B" w14:textId="4905F93A" w:rsidR="000B0B2E" w:rsidRPr="00B92499" w:rsidRDefault="000B0B2E" w:rsidP="009F64B5">
      <w:pPr>
        <w:pStyle w:val="Prrafodelista"/>
        <w:numPr>
          <w:ilvl w:val="0"/>
          <w:numId w:val="2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w:t>
      </w:r>
      <w:r w:rsidR="00AA1246" w:rsidRPr="00B92499">
        <w:rPr>
          <w:rFonts w:ascii="Arial" w:hAnsi="Arial" w:cs="Arial"/>
          <w:sz w:val="24"/>
          <w:szCs w:val="24"/>
          <w:lang w:val="es-ES_tradnl"/>
        </w:rPr>
        <w:t>33</w:t>
      </w:r>
      <w:r w:rsidRPr="00B92499">
        <w:rPr>
          <w:rFonts w:ascii="Arial" w:hAnsi="Arial" w:cs="Arial"/>
          <w:sz w:val="24"/>
          <w:szCs w:val="24"/>
          <w:lang w:val="es-ES_tradnl"/>
        </w:rPr>
        <w:t xml:space="preserve">. Obligaciones específicas del </w:t>
      </w:r>
      <w:r w:rsidR="00AA1246" w:rsidRPr="00B92499">
        <w:rPr>
          <w:rFonts w:ascii="Arial" w:hAnsi="Arial" w:cs="Arial"/>
          <w:sz w:val="24"/>
          <w:szCs w:val="24"/>
          <w:lang w:val="es-ES_tradnl"/>
        </w:rPr>
        <w:t>Instituto</w:t>
      </w:r>
      <w:r w:rsidRPr="00B92499">
        <w:rPr>
          <w:rFonts w:ascii="Arial" w:hAnsi="Arial" w:cs="Arial"/>
          <w:sz w:val="24"/>
          <w:szCs w:val="24"/>
          <w:lang w:val="es-ES_tradnl"/>
        </w:rPr>
        <w:t>,</w:t>
      </w:r>
    </w:p>
    <w:p w14:paraId="3FD7317B" w14:textId="053703BC" w:rsidR="000B0B2E" w:rsidRPr="00B92499" w:rsidRDefault="000B0B2E" w:rsidP="009F64B5">
      <w:pPr>
        <w:pStyle w:val="Prrafodelista"/>
        <w:numPr>
          <w:ilvl w:val="0"/>
          <w:numId w:val="2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145. Disposiciones Particulares,</w:t>
      </w:r>
    </w:p>
    <w:p w14:paraId="3D9212AD" w14:textId="2A96F8B9" w:rsidR="000B0B2E" w:rsidRPr="00B92499" w:rsidRDefault="000B0B2E" w:rsidP="009F64B5">
      <w:pPr>
        <w:pStyle w:val="Prrafodelista"/>
        <w:numPr>
          <w:ilvl w:val="0"/>
          <w:numId w:val="2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Artículo 146. Disposiciones Particulares, y </w:t>
      </w:r>
    </w:p>
    <w:p w14:paraId="27E34C45" w14:textId="7CD0983C" w:rsidR="000B0B2E" w:rsidRPr="00B92499" w:rsidRDefault="000B0B2E" w:rsidP="009F64B5">
      <w:pPr>
        <w:pStyle w:val="Prrafodelista"/>
        <w:numPr>
          <w:ilvl w:val="0"/>
          <w:numId w:val="23"/>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 147. Disposiciones Particulares.</w:t>
      </w:r>
    </w:p>
    <w:p w14:paraId="55F1A93D" w14:textId="3409D694" w:rsidR="000B0B2E" w:rsidRPr="00B92499" w:rsidRDefault="000B0B2E" w:rsidP="009F64B5">
      <w:pPr>
        <w:pStyle w:val="Ttulo2"/>
        <w:numPr>
          <w:ilvl w:val="1"/>
          <w:numId w:val="18"/>
        </w:numPr>
        <w:contextualSpacing/>
        <w:jc w:val="both"/>
        <w:rPr>
          <w:rFonts w:ascii="Arial" w:hAnsi="Arial" w:cs="Arial"/>
          <w:b/>
          <w:color w:val="auto"/>
          <w:sz w:val="24"/>
          <w:szCs w:val="24"/>
        </w:rPr>
      </w:pPr>
      <w:bookmarkStart w:id="46" w:name="_Toc23253002"/>
      <w:r w:rsidRPr="00B92499">
        <w:rPr>
          <w:rFonts w:ascii="Arial" w:hAnsi="Arial" w:cs="Arial"/>
          <w:b/>
          <w:color w:val="auto"/>
          <w:sz w:val="24"/>
          <w:szCs w:val="24"/>
        </w:rPr>
        <w:t xml:space="preserve">Análisis global de cumplimiento de los </w:t>
      </w:r>
      <w:r w:rsidR="00CF534F" w:rsidRPr="00B92499">
        <w:rPr>
          <w:rFonts w:ascii="Arial" w:hAnsi="Arial" w:cs="Arial"/>
          <w:b/>
          <w:color w:val="auto"/>
          <w:sz w:val="24"/>
          <w:szCs w:val="24"/>
        </w:rPr>
        <w:t>Órganos Autónomos</w:t>
      </w:r>
      <w:bookmarkEnd w:id="46"/>
    </w:p>
    <w:p w14:paraId="32F66F83" w14:textId="77777777" w:rsidR="000B0B2E" w:rsidRPr="00B92499" w:rsidRDefault="000B0B2E" w:rsidP="000B0B2E">
      <w:pPr>
        <w:rPr>
          <w:rFonts w:ascii="Arial" w:hAnsi="Arial" w:cs="Arial"/>
        </w:rPr>
      </w:pPr>
    </w:p>
    <w:p w14:paraId="3320D313" w14:textId="1E991AF3" w:rsidR="000B0B2E" w:rsidRPr="00B92499" w:rsidRDefault="000B0B2E" w:rsidP="000B0B2E">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Índices Globales de Cumplimiento de las </w:t>
      </w:r>
      <w:r w:rsidR="008710F6" w:rsidRPr="00B92499">
        <w:rPr>
          <w:rFonts w:ascii="Arial" w:hAnsi="Arial" w:cs="Arial"/>
          <w:u w:val="single"/>
        </w:rPr>
        <w:t>obligaciones de transparencia</w:t>
      </w:r>
    </w:p>
    <w:p w14:paraId="0D4E5B9E" w14:textId="1DCCB4C6"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 IGOT, el </w:t>
      </w:r>
      <w:r w:rsidR="00AA1246" w:rsidRPr="00B92499">
        <w:rPr>
          <w:rFonts w:ascii="Arial" w:hAnsi="Arial" w:cs="Arial"/>
        </w:rPr>
        <w:t>Instituto</w:t>
      </w:r>
      <w:r w:rsidRPr="00B92499">
        <w:rPr>
          <w:rFonts w:ascii="Arial" w:hAnsi="Arial" w:cs="Arial"/>
        </w:rPr>
        <w:t xml:space="preserve"> obtuvo un promedio de </w:t>
      </w:r>
      <w:r w:rsidR="00AA1246" w:rsidRPr="00B92499">
        <w:rPr>
          <w:rFonts w:ascii="Arial" w:hAnsi="Arial" w:cs="Arial"/>
        </w:rPr>
        <w:t>96.24</w:t>
      </w:r>
      <w:r w:rsidRPr="00B92499">
        <w:rPr>
          <w:rFonts w:ascii="Arial" w:hAnsi="Arial" w:cs="Arial"/>
        </w:rPr>
        <w:t xml:space="preserve">%, el cual está compuesto por un índice de </w:t>
      </w:r>
      <w:r w:rsidR="00AA1246" w:rsidRPr="00B92499">
        <w:rPr>
          <w:rFonts w:ascii="Arial" w:hAnsi="Arial" w:cs="Arial"/>
        </w:rPr>
        <w:t>95.32</w:t>
      </w:r>
      <w:r w:rsidRPr="00B92499">
        <w:rPr>
          <w:rFonts w:ascii="Arial" w:hAnsi="Arial" w:cs="Arial"/>
        </w:rPr>
        <w:t>% en lo que corresponde a la Plataforma Nacional de Transparencia (PNT) y un índice de 9</w:t>
      </w:r>
      <w:r w:rsidR="00AA1246" w:rsidRPr="00B92499">
        <w:rPr>
          <w:rFonts w:ascii="Arial" w:hAnsi="Arial" w:cs="Arial"/>
        </w:rPr>
        <w:t>7.16</w:t>
      </w:r>
      <w:r w:rsidRPr="00B92499">
        <w:rPr>
          <w:rFonts w:ascii="Arial" w:hAnsi="Arial" w:cs="Arial"/>
        </w:rPr>
        <w:t xml:space="preserve">% en lo que se refiere al Portal Institucional (PI). </w:t>
      </w:r>
    </w:p>
    <w:p w14:paraId="121D7C77"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103CA053" w14:textId="77777777"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No obstante, el grado de cumplimiento anteriormente señalado está conformado por el índice de cumplimiento respecto de la información que se encuentra pública y actualizada tanto en los Portales de Internet Institucionales como en la Plataforma Nacional de Transparencia y el índice de cumplimiento respecto de la atención a lo mandatado en las obligaciones de transparencia a través de la publicación de una nota fundada y motivada que aclara el por qué no se generó, publicó o actualizó la información. </w:t>
      </w:r>
    </w:p>
    <w:p w14:paraId="00DF4162"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0FDC0D0B" w14:textId="411E5FA6"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lastRenderedPageBreak/>
        <w:t xml:space="preserve">El grado de cumplimiento de este ámbito, consistente en </w:t>
      </w:r>
      <w:r w:rsidR="00AA1246" w:rsidRPr="00B92499">
        <w:rPr>
          <w:rFonts w:ascii="Arial" w:hAnsi="Arial" w:cs="Arial"/>
        </w:rPr>
        <w:t>96.24</w:t>
      </w:r>
      <w:r w:rsidRPr="00B92499">
        <w:rPr>
          <w:rFonts w:ascii="Arial" w:hAnsi="Arial" w:cs="Arial"/>
        </w:rPr>
        <w:t>%, está integrado por 9</w:t>
      </w:r>
      <w:r w:rsidR="00AA1246" w:rsidRPr="00B92499">
        <w:rPr>
          <w:rFonts w:ascii="Arial" w:hAnsi="Arial" w:cs="Arial"/>
        </w:rPr>
        <w:t>1.79</w:t>
      </w:r>
      <w:r w:rsidRPr="00B92499">
        <w:rPr>
          <w:rFonts w:ascii="Arial" w:hAnsi="Arial" w:cs="Arial"/>
        </w:rPr>
        <w:t xml:space="preserve">% de información publicada y actualizada en atención a los principios mandatados en la Ley de Transparencia Local y un </w:t>
      </w:r>
      <w:r w:rsidR="00AA1246" w:rsidRPr="00B92499">
        <w:rPr>
          <w:rFonts w:ascii="Arial" w:hAnsi="Arial" w:cs="Arial"/>
        </w:rPr>
        <w:t>4.45</w:t>
      </w:r>
      <w:r w:rsidRPr="00B92499">
        <w:rPr>
          <w:rFonts w:ascii="Arial" w:hAnsi="Arial" w:cs="Arial"/>
        </w:rPr>
        <w:t xml:space="preserve">% que corresponde a notas aclaratorias. </w:t>
      </w:r>
    </w:p>
    <w:p w14:paraId="07ED1A92"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2E20FB2A" w14:textId="368797C3" w:rsidR="000B0B2E" w:rsidRPr="00B92499" w:rsidRDefault="000B0B2E" w:rsidP="000B0B2E">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42504B38" w14:textId="77777777" w:rsidR="000B0B2E" w:rsidRPr="00B92499" w:rsidRDefault="000B0B2E" w:rsidP="000B0B2E">
      <w:pPr>
        <w:spacing w:before="100" w:beforeAutospacing="1" w:after="100" w:afterAutospacing="1" w:line="360" w:lineRule="auto"/>
        <w:contextualSpacing/>
        <w:jc w:val="both"/>
        <w:rPr>
          <w:rFonts w:ascii="Arial" w:hAnsi="Arial" w:cs="Arial"/>
          <w:u w:val="single"/>
        </w:rPr>
      </w:pPr>
    </w:p>
    <w:p w14:paraId="1D627415" w14:textId="2FBECE46"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w:t>
      </w:r>
      <w:r w:rsidR="00A64325" w:rsidRPr="00B92499">
        <w:rPr>
          <w:rFonts w:ascii="Arial" w:hAnsi="Arial" w:cs="Arial"/>
        </w:rPr>
        <w:t xml:space="preserve">ámbito </w:t>
      </w:r>
      <w:r w:rsidRPr="00B92499">
        <w:rPr>
          <w:rFonts w:ascii="Arial" w:hAnsi="Arial" w:cs="Arial"/>
        </w:rPr>
        <w:t>ha cumplido parcialmente en la publicación y actualización de sus obligaciones comunes, específicas y disposiciones particulares; obteniendo en las</w:t>
      </w:r>
      <w:r w:rsidR="000D67A7" w:rsidRPr="00B92499">
        <w:rPr>
          <w:rFonts w:ascii="Arial" w:hAnsi="Arial" w:cs="Arial"/>
        </w:rPr>
        <w:t xml:space="preserve"> 3 </w:t>
      </w:r>
      <w:r w:rsidRPr="00B92499">
        <w:rPr>
          <w:rFonts w:ascii="Arial" w:hAnsi="Arial" w:cs="Arial"/>
        </w:rPr>
        <w:t xml:space="preserve">un promedio de cumplimiento de </w:t>
      </w:r>
      <w:r w:rsidR="00AA1246" w:rsidRPr="00B92499">
        <w:rPr>
          <w:rFonts w:ascii="Arial" w:hAnsi="Arial" w:cs="Arial"/>
        </w:rPr>
        <w:t>96.49</w:t>
      </w:r>
      <w:r w:rsidRPr="00B92499">
        <w:rPr>
          <w:rFonts w:ascii="Arial" w:hAnsi="Arial" w:cs="Arial"/>
        </w:rPr>
        <w:t>%, 9</w:t>
      </w:r>
      <w:r w:rsidR="00AA1246" w:rsidRPr="00B92499">
        <w:rPr>
          <w:rFonts w:ascii="Arial" w:hAnsi="Arial" w:cs="Arial"/>
        </w:rPr>
        <w:t>1.72</w:t>
      </w:r>
      <w:r w:rsidRPr="00B92499">
        <w:rPr>
          <w:rFonts w:ascii="Arial" w:hAnsi="Arial" w:cs="Arial"/>
        </w:rPr>
        <w:t xml:space="preserve">% y </w:t>
      </w:r>
      <w:r w:rsidR="00AA1246" w:rsidRPr="00B92499">
        <w:rPr>
          <w:rFonts w:ascii="Arial" w:hAnsi="Arial" w:cs="Arial"/>
        </w:rPr>
        <w:t>100</w:t>
      </w:r>
      <w:r w:rsidRPr="00B92499">
        <w:rPr>
          <w:rFonts w:ascii="Arial" w:hAnsi="Arial" w:cs="Arial"/>
        </w:rPr>
        <w:t xml:space="preserve">% respectivamente. </w:t>
      </w:r>
    </w:p>
    <w:p w14:paraId="650C056B"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1938D821" w14:textId="35B4C3E4"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En esta misma línea, los artículos 145</w:t>
      </w:r>
      <w:r w:rsidR="00AA1246" w:rsidRPr="00B92499">
        <w:rPr>
          <w:rFonts w:ascii="Arial" w:hAnsi="Arial" w:cs="Arial"/>
        </w:rPr>
        <w:t>,</w:t>
      </w:r>
      <w:r w:rsidRPr="00B92499">
        <w:rPr>
          <w:rFonts w:ascii="Arial" w:hAnsi="Arial" w:cs="Arial"/>
        </w:rPr>
        <w:t xml:space="preserve"> 146 </w:t>
      </w:r>
      <w:r w:rsidR="00AA1246" w:rsidRPr="00B92499">
        <w:rPr>
          <w:rFonts w:ascii="Arial" w:hAnsi="Arial" w:cs="Arial"/>
        </w:rPr>
        <w:t xml:space="preserve">y 147 </w:t>
      </w:r>
      <w:r w:rsidRPr="00B92499">
        <w:rPr>
          <w:rFonts w:ascii="Arial" w:hAnsi="Arial" w:cs="Arial"/>
        </w:rPr>
        <w:t xml:space="preserve">tuvieron un ICP de 100%, logrando un cumplimiento total, el artículo 121 obtuvo un ICP de </w:t>
      </w:r>
      <w:r w:rsidR="00AA1246" w:rsidRPr="00B92499">
        <w:rPr>
          <w:rFonts w:ascii="Arial" w:hAnsi="Arial" w:cs="Arial"/>
        </w:rPr>
        <w:t>96.49</w:t>
      </w:r>
      <w:r w:rsidRPr="00B92499">
        <w:rPr>
          <w:rFonts w:ascii="Arial" w:hAnsi="Arial" w:cs="Arial"/>
        </w:rPr>
        <w:t>%</w:t>
      </w:r>
      <w:r w:rsidR="00AA1246" w:rsidRPr="00B92499">
        <w:rPr>
          <w:rFonts w:ascii="Arial" w:hAnsi="Arial" w:cs="Arial"/>
        </w:rPr>
        <w:t xml:space="preserve"> </w:t>
      </w:r>
      <w:r w:rsidRPr="00B92499">
        <w:rPr>
          <w:rFonts w:ascii="Arial" w:hAnsi="Arial" w:cs="Arial"/>
        </w:rPr>
        <w:t>y el artículo 1</w:t>
      </w:r>
      <w:r w:rsidR="00AA1246" w:rsidRPr="00B92499">
        <w:rPr>
          <w:rFonts w:ascii="Arial" w:hAnsi="Arial" w:cs="Arial"/>
        </w:rPr>
        <w:t>33</w:t>
      </w:r>
      <w:r w:rsidRPr="00B92499">
        <w:rPr>
          <w:rFonts w:ascii="Arial" w:hAnsi="Arial" w:cs="Arial"/>
        </w:rPr>
        <w:t xml:space="preserve"> tuvo un ICP de </w:t>
      </w:r>
      <w:r w:rsidR="00AA1246" w:rsidRPr="00B92499">
        <w:rPr>
          <w:rFonts w:ascii="Arial" w:hAnsi="Arial" w:cs="Arial"/>
        </w:rPr>
        <w:t>91.72</w:t>
      </w:r>
      <w:r w:rsidRPr="00B92499">
        <w:rPr>
          <w:rFonts w:ascii="Arial" w:hAnsi="Arial" w:cs="Arial"/>
        </w:rPr>
        <w:t xml:space="preserve">%. </w:t>
      </w:r>
    </w:p>
    <w:p w14:paraId="34C81FF0"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7C7E0BA2" w14:textId="0AD5EA3C"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respecto de cada uno de los artículos que conforman el índice global, el ICP del artículo 121 está compuesto por </w:t>
      </w:r>
      <w:r w:rsidR="00AA1246" w:rsidRPr="00B92499">
        <w:rPr>
          <w:rFonts w:ascii="Arial" w:hAnsi="Arial" w:cs="Arial"/>
        </w:rPr>
        <w:t>3.50</w:t>
      </w:r>
      <w:r w:rsidRPr="00B92499">
        <w:rPr>
          <w:rFonts w:ascii="Arial" w:hAnsi="Arial" w:cs="Arial"/>
        </w:rPr>
        <w:t xml:space="preserve">% de notas aclaratorias, el ICP del artículo </w:t>
      </w:r>
      <w:r w:rsidR="00AA1246" w:rsidRPr="00B92499">
        <w:rPr>
          <w:rFonts w:ascii="Arial" w:hAnsi="Arial" w:cs="Arial"/>
        </w:rPr>
        <w:t>133</w:t>
      </w:r>
      <w:r w:rsidRPr="00B92499">
        <w:rPr>
          <w:rFonts w:ascii="Arial" w:hAnsi="Arial" w:cs="Arial"/>
        </w:rPr>
        <w:t xml:space="preserve"> por </w:t>
      </w:r>
      <w:r w:rsidR="0020458B" w:rsidRPr="00B92499">
        <w:rPr>
          <w:rFonts w:ascii="Arial" w:hAnsi="Arial" w:cs="Arial"/>
        </w:rPr>
        <w:t>12.11</w:t>
      </w:r>
      <w:r w:rsidRPr="00B92499">
        <w:rPr>
          <w:rFonts w:ascii="Arial" w:hAnsi="Arial" w:cs="Arial"/>
        </w:rPr>
        <w:t xml:space="preserve">% de notas y los ICP de los artículos 145, 146 y 147 no tuvieron cambio alguno, debido a que no fueron utilizadas notas aclaratorias.  </w:t>
      </w:r>
    </w:p>
    <w:p w14:paraId="0A9130B4"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7F061DC3" w14:textId="4B87C3D5" w:rsidR="000B0B2E" w:rsidRPr="00B92499" w:rsidRDefault="000B0B2E" w:rsidP="009F64B5">
      <w:pPr>
        <w:pStyle w:val="Ttulo2"/>
        <w:numPr>
          <w:ilvl w:val="1"/>
          <w:numId w:val="18"/>
        </w:numPr>
        <w:contextualSpacing/>
        <w:jc w:val="both"/>
        <w:rPr>
          <w:rFonts w:ascii="Arial" w:hAnsi="Arial" w:cs="Arial"/>
          <w:b/>
          <w:color w:val="auto"/>
          <w:sz w:val="24"/>
          <w:szCs w:val="24"/>
        </w:rPr>
      </w:pPr>
      <w:bookmarkStart w:id="47" w:name="_Toc23253003"/>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121 y sus respectivas fracciones</w:t>
      </w:r>
      <w:bookmarkEnd w:id="47"/>
    </w:p>
    <w:p w14:paraId="28B0C0C5" w14:textId="5C0EB853"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20458B" w:rsidRPr="00B92499">
        <w:rPr>
          <w:rFonts w:ascii="Arial" w:hAnsi="Arial" w:cs="Arial"/>
        </w:rPr>
        <w:t>Instituto</w:t>
      </w:r>
      <w:r w:rsidRPr="00B92499">
        <w:rPr>
          <w:rFonts w:ascii="Arial" w:hAnsi="Arial" w:cs="Arial"/>
        </w:rPr>
        <w:t xml:space="preserve"> obtuvo un ICP en este artículo de </w:t>
      </w:r>
      <w:r w:rsidR="0020458B" w:rsidRPr="00B92499">
        <w:rPr>
          <w:rFonts w:ascii="Arial" w:hAnsi="Arial" w:cs="Arial"/>
        </w:rPr>
        <w:t xml:space="preserve">96.49%, </w:t>
      </w:r>
      <w:r w:rsidRPr="00B92499">
        <w:rPr>
          <w:rFonts w:ascii="Arial" w:hAnsi="Arial" w:cs="Arial"/>
        </w:rPr>
        <w:t xml:space="preserve">por lo que se encuentra dentro del área de cumplimiento parcial. Lo anterior se debió a que de las 54 fracciones que les son aplicables, en </w:t>
      </w:r>
      <w:r w:rsidR="0020458B" w:rsidRPr="00B92499">
        <w:rPr>
          <w:rFonts w:ascii="Arial" w:hAnsi="Arial" w:cs="Arial"/>
        </w:rPr>
        <w:t>48</w:t>
      </w:r>
      <w:r w:rsidRPr="00B92499">
        <w:rPr>
          <w:rFonts w:ascii="Arial" w:hAnsi="Arial" w:cs="Arial"/>
        </w:rPr>
        <w:t xml:space="preserve"> alcanzó un cumplimiento total de 100%, en</w:t>
      </w:r>
      <w:r w:rsidR="0020458B" w:rsidRPr="00B92499">
        <w:rPr>
          <w:rFonts w:ascii="Arial" w:hAnsi="Arial" w:cs="Arial"/>
        </w:rPr>
        <w:t xml:space="preserve"> </w:t>
      </w:r>
      <w:r w:rsidR="000D67A7" w:rsidRPr="00B92499">
        <w:rPr>
          <w:rFonts w:ascii="Arial" w:hAnsi="Arial" w:cs="Arial"/>
        </w:rPr>
        <w:t xml:space="preserve"> 5  </w:t>
      </w:r>
      <w:r w:rsidRPr="00B92499">
        <w:rPr>
          <w:rFonts w:ascii="Arial" w:hAnsi="Arial" w:cs="Arial"/>
        </w:rPr>
        <w:t xml:space="preserve"> fracciones un cumplimiento parcial comprendido entre el </w:t>
      </w:r>
      <w:r w:rsidR="0020458B" w:rsidRPr="00B92499">
        <w:rPr>
          <w:rFonts w:ascii="Arial" w:hAnsi="Arial" w:cs="Arial"/>
        </w:rPr>
        <w:t>64.65</w:t>
      </w:r>
      <w:r w:rsidRPr="00B92499">
        <w:rPr>
          <w:rFonts w:ascii="Arial" w:hAnsi="Arial" w:cs="Arial"/>
        </w:rPr>
        <w:t>% y 9</w:t>
      </w:r>
      <w:r w:rsidR="0020458B" w:rsidRPr="00B92499">
        <w:rPr>
          <w:rFonts w:ascii="Arial" w:hAnsi="Arial" w:cs="Arial"/>
        </w:rPr>
        <w:t>8.43</w:t>
      </w:r>
      <w:r w:rsidRPr="00B92499">
        <w:rPr>
          <w:rFonts w:ascii="Arial" w:hAnsi="Arial" w:cs="Arial"/>
        </w:rPr>
        <w:t xml:space="preserve">% y en una fracción alcanzó un incumplimiento parcial de 50%. </w:t>
      </w:r>
    </w:p>
    <w:p w14:paraId="1FE01405"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726CBE1C" w14:textId="485C5D60"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En esta línea, de las 54 fracciones que le son aplicables, las</w:t>
      </w:r>
      <w:r w:rsidR="000D67A7" w:rsidRPr="00B92499">
        <w:rPr>
          <w:rFonts w:ascii="Arial" w:hAnsi="Arial" w:cs="Arial"/>
        </w:rPr>
        <w:t xml:space="preserve"> 3 </w:t>
      </w:r>
      <w:r w:rsidRPr="00B92499">
        <w:rPr>
          <w:rFonts w:ascii="Arial" w:hAnsi="Arial" w:cs="Arial"/>
        </w:rPr>
        <w:t xml:space="preserve">que tienen mayor área de oportunidad son las siguientes: </w:t>
      </w:r>
    </w:p>
    <w:p w14:paraId="50C61E26" w14:textId="073F6F42" w:rsidR="000B0B2E" w:rsidRPr="00B92499" w:rsidRDefault="000B0B2E" w:rsidP="009F64B5">
      <w:pPr>
        <w:pStyle w:val="Prrafodelista"/>
        <w:numPr>
          <w:ilvl w:val="0"/>
          <w:numId w:val="2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w:t>
      </w:r>
      <w:r w:rsidR="0020458B" w:rsidRPr="00B92499">
        <w:rPr>
          <w:rFonts w:ascii="Arial" w:hAnsi="Arial" w:cs="Arial"/>
          <w:sz w:val="24"/>
          <w:szCs w:val="24"/>
          <w:lang w:val="es-ES_tradnl"/>
        </w:rPr>
        <w:t xml:space="preserve">VI, </w:t>
      </w:r>
      <w:r w:rsidRPr="00B92499">
        <w:rPr>
          <w:rFonts w:ascii="Arial" w:hAnsi="Arial" w:cs="Arial"/>
          <w:sz w:val="24"/>
          <w:szCs w:val="24"/>
          <w:lang w:val="es-ES_tradnl"/>
        </w:rPr>
        <w:t xml:space="preserve">con un ICP de 50% en la cual se solicita </w:t>
      </w:r>
      <w:r w:rsidR="0020458B" w:rsidRPr="00B92499">
        <w:rPr>
          <w:rFonts w:ascii="Arial" w:hAnsi="Arial" w:cs="Arial"/>
          <w:sz w:val="24"/>
          <w:szCs w:val="24"/>
          <w:lang w:val="es-ES_tradnl"/>
        </w:rPr>
        <w:t>publicar indicadores que permitan rendir cuentas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w:t>
      </w:r>
      <w:r w:rsidR="00814637" w:rsidRPr="00B92499">
        <w:rPr>
          <w:rFonts w:ascii="Arial" w:hAnsi="Arial" w:cs="Arial"/>
          <w:sz w:val="24"/>
          <w:szCs w:val="24"/>
          <w:lang w:val="es-ES_tradnl"/>
        </w:rPr>
        <w:t>en actualizar la información mandata al segundo trimestre del año 2019.</w:t>
      </w:r>
    </w:p>
    <w:p w14:paraId="5B7F79E2" w14:textId="2233A4B0" w:rsidR="000B0B2E" w:rsidRPr="00B92499" w:rsidRDefault="000B0B2E" w:rsidP="009F64B5">
      <w:pPr>
        <w:pStyle w:val="Prrafodelista"/>
        <w:numPr>
          <w:ilvl w:val="0"/>
          <w:numId w:val="2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w:t>
      </w:r>
      <w:r w:rsidR="0020458B" w:rsidRPr="00B92499">
        <w:rPr>
          <w:rFonts w:ascii="Arial" w:hAnsi="Arial" w:cs="Arial"/>
          <w:sz w:val="24"/>
          <w:szCs w:val="24"/>
          <w:lang w:val="es-ES_tradnl"/>
        </w:rPr>
        <w:t>XV</w:t>
      </w:r>
      <w:r w:rsidRPr="00B92499">
        <w:rPr>
          <w:rFonts w:ascii="Arial" w:hAnsi="Arial" w:cs="Arial"/>
          <w:sz w:val="24"/>
          <w:szCs w:val="24"/>
          <w:lang w:val="es-ES_tradnl"/>
        </w:rPr>
        <w:t xml:space="preserve"> con un ICP de </w:t>
      </w:r>
      <w:r w:rsidR="0020458B" w:rsidRPr="00B92499">
        <w:rPr>
          <w:rFonts w:ascii="Arial" w:hAnsi="Arial" w:cs="Arial"/>
          <w:sz w:val="24"/>
          <w:szCs w:val="24"/>
          <w:lang w:val="es-ES_tradnl"/>
        </w:rPr>
        <w:t>64.65</w:t>
      </w:r>
      <w:r w:rsidRPr="00B92499">
        <w:rPr>
          <w:rFonts w:ascii="Arial" w:hAnsi="Arial" w:cs="Arial"/>
          <w:sz w:val="24"/>
          <w:szCs w:val="24"/>
          <w:lang w:val="es-ES_tradnl"/>
        </w:rPr>
        <w:t xml:space="preserve">% que hace referencia a la publicación </w:t>
      </w:r>
      <w:r w:rsidR="0020458B" w:rsidRPr="00B92499">
        <w:rPr>
          <w:rFonts w:ascii="Arial" w:hAnsi="Arial" w:cs="Arial"/>
          <w:sz w:val="24"/>
          <w:szCs w:val="24"/>
          <w:lang w:val="es-ES_tradnl"/>
        </w:rPr>
        <w:t>de montos destinados a comunicación social y publicidad</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w:t>
      </w:r>
      <w:r w:rsidR="00814637" w:rsidRPr="00B92499">
        <w:rPr>
          <w:rFonts w:ascii="Arial" w:hAnsi="Arial" w:cs="Arial"/>
          <w:sz w:val="24"/>
          <w:szCs w:val="24"/>
          <w:lang w:val="es-ES_tradnl"/>
        </w:rPr>
        <w:t xml:space="preserve"> en realizar la publicación de la información solicitada, en específico el formato B.</w:t>
      </w:r>
    </w:p>
    <w:p w14:paraId="4473CA63" w14:textId="5508F1BF" w:rsidR="000B0B2E" w:rsidRPr="00B92499" w:rsidRDefault="000B0B2E" w:rsidP="009F64B5">
      <w:pPr>
        <w:pStyle w:val="Prrafodelista"/>
        <w:numPr>
          <w:ilvl w:val="0"/>
          <w:numId w:val="24"/>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20458B" w:rsidRPr="00B92499">
        <w:rPr>
          <w:rFonts w:ascii="Arial" w:hAnsi="Arial" w:cs="Arial"/>
          <w:sz w:val="24"/>
          <w:szCs w:val="24"/>
          <w:lang w:val="es-ES_tradnl"/>
        </w:rPr>
        <w:t>I</w:t>
      </w:r>
      <w:r w:rsidRPr="00B92499">
        <w:rPr>
          <w:rFonts w:ascii="Arial" w:hAnsi="Arial" w:cs="Arial"/>
          <w:sz w:val="24"/>
          <w:szCs w:val="24"/>
          <w:lang w:val="es-ES_tradnl"/>
        </w:rPr>
        <w:t xml:space="preserve">, con un ICP de </w:t>
      </w:r>
      <w:r w:rsidR="0020458B" w:rsidRPr="00B92499">
        <w:rPr>
          <w:rFonts w:ascii="Arial" w:hAnsi="Arial" w:cs="Arial"/>
          <w:sz w:val="24"/>
          <w:szCs w:val="24"/>
          <w:lang w:val="es-ES_tradnl"/>
        </w:rPr>
        <w:t>77.08</w:t>
      </w:r>
      <w:r w:rsidRPr="00B92499">
        <w:rPr>
          <w:rFonts w:ascii="Arial" w:hAnsi="Arial" w:cs="Arial"/>
          <w:sz w:val="24"/>
          <w:szCs w:val="24"/>
          <w:lang w:val="es-ES_tradnl"/>
        </w:rPr>
        <w:t>%, que establece la publicación</w:t>
      </w:r>
      <w:r w:rsidR="0020458B" w:rsidRPr="00B92499">
        <w:rPr>
          <w:rFonts w:ascii="Arial" w:hAnsi="Arial" w:cs="Arial"/>
          <w:sz w:val="24"/>
          <w:szCs w:val="24"/>
          <w:lang w:val="es-ES_tradnl"/>
        </w:rPr>
        <w:t xml:space="preserve"> del marco normativo vigente que le aplica al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El área de oportunidad del </w:t>
      </w:r>
      <w:r w:rsidR="0020458B" w:rsidRPr="00B92499">
        <w:rPr>
          <w:rFonts w:ascii="Arial" w:hAnsi="Arial" w:cs="Arial"/>
          <w:sz w:val="24"/>
          <w:szCs w:val="24"/>
          <w:lang w:val="es-ES_tradnl"/>
        </w:rPr>
        <w:t>Instituto</w:t>
      </w:r>
      <w:r w:rsidRPr="00B92499">
        <w:rPr>
          <w:rFonts w:ascii="Arial" w:hAnsi="Arial" w:cs="Arial"/>
          <w:sz w:val="24"/>
          <w:szCs w:val="24"/>
          <w:lang w:val="es-ES_tradnl"/>
        </w:rPr>
        <w:t xml:space="preserve"> consiste en</w:t>
      </w:r>
      <w:r w:rsidR="00814637" w:rsidRPr="00B92499">
        <w:rPr>
          <w:rFonts w:ascii="Arial" w:hAnsi="Arial" w:cs="Arial"/>
          <w:sz w:val="24"/>
          <w:szCs w:val="24"/>
          <w:lang w:val="es-ES_tradnl"/>
        </w:rPr>
        <w:t xml:space="preserve"> publicar y actualizar de forma completa la normatividad que le es aplicable al Instituto.</w:t>
      </w:r>
    </w:p>
    <w:p w14:paraId="725603FE" w14:textId="35DAFFF3"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en </w:t>
      </w:r>
      <w:r w:rsidR="0020458B" w:rsidRPr="00B92499">
        <w:rPr>
          <w:rFonts w:ascii="Arial" w:hAnsi="Arial" w:cs="Arial"/>
        </w:rPr>
        <w:t>48</w:t>
      </w:r>
      <w:r w:rsidRPr="00B92499">
        <w:rPr>
          <w:rFonts w:ascii="Arial" w:hAnsi="Arial" w:cs="Arial"/>
        </w:rPr>
        <w:t xml:space="preserve"> fracciones del artículo 121, este </w:t>
      </w:r>
      <w:r w:rsidR="0020458B" w:rsidRPr="00B92499">
        <w:rPr>
          <w:rFonts w:ascii="Arial" w:hAnsi="Arial" w:cs="Arial"/>
        </w:rPr>
        <w:t>Instituto</w:t>
      </w:r>
      <w:r w:rsidRPr="00B92499">
        <w:rPr>
          <w:rFonts w:ascii="Arial" w:hAnsi="Arial" w:cs="Arial"/>
        </w:rPr>
        <w:t xml:space="preserve"> alcanzó un ICP de 100%.</w:t>
      </w:r>
    </w:p>
    <w:p w14:paraId="68E41678"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113ED96E" w14:textId="77777777" w:rsidR="000B0B2E" w:rsidRPr="00B92499" w:rsidRDefault="000B0B2E" w:rsidP="000B0B2E">
      <w:pPr>
        <w:spacing w:before="100" w:beforeAutospacing="1" w:after="100" w:afterAutospacing="1" w:line="360" w:lineRule="auto"/>
        <w:jc w:val="both"/>
        <w:rPr>
          <w:rFonts w:ascii="Arial" w:hAnsi="Arial" w:cs="Arial"/>
        </w:rPr>
      </w:pPr>
      <w:r w:rsidRPr="00B92499">
        <w:rPr>
          <w:rFonts w:ascii="Arial" w:hAnsi="Arial" w:cs="Arial"/>
        </w:rPr>
        <w:t xml:space="preserve">Con el objetivo de mostrar con mayor detalle el ICP de cada fracción del artículo 121 es presentada la siguiente tabla ordenada de forma descendente. </w:t>
      </w:r>
    </w:p>
    <w:tbl>
      <w:tblPr>
        <w:tblW w:w="8928" w:type="dxa"/>
        <w:tblCellMar>
          <w:left w:w="70" w:type="dxa"/>
          <w:right w:w="70" w:type="dxa"/>
        </w:tblCellMar>
        <w:tblLook w:val="04A0" w:firstRow="1" w:lastRow="0" w:firstColumn="1" w:lastColumn="0" w:noHBand="0" w:noVBand="1"/>
      </w:tblPr>
      <w:tblGrid>
        <w:gridCol w:w="974"/>
        <w:gridCol w:w="7107"/>
        <w:gridCol w:w="848"/>
      </w:tblGrid>
      <w:tr w:rsidR="000B0B2E" w:rsidRPr="00B92499" w14:paraId="23139948" w14:textId="77777777" w:rsidTr="0020458B">
        <w:trPr>
          <w:trHeight w:val="20"/>
          <w:tblHeader/>
        </w:trPr>
        <w:tc>
          <w:tcPr>
            <w:tcW w:w="8928"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32810A7" w14:textId="696D3D7D"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0B0B2E" w:rsidRPr="00B92499" w14:paraId="29E6EA72" w14:textId="77777777" w:rsidTr="0020458B">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41EC24FD"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1B53E2D7"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197" w:type="dxa"/>
            <w:tcBorders>
              <w:top w:val="nil"/>
              <w:left w:val="nil"/>
              <w:bottom w:val="single" w:sz="4" w:space="0" w:color="auto"/>
              <w:right w:val="single" w:sz="4" w:space="0" w:color="auto"/>
            </w:tcBorders>
            <w:shd w:val="clear" w:color="auto" w:fill="00B0F0"/>
            <w:vAlign w:val="center"/>
            <w:hideMark/>
          </w:tcPr>
          <w:p w14:paraId="7C321F47"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20458B" w:rsidRPr="00B92499" w14:paraId="5393C83C"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EFA2E3"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w:t>
            </w:r>
          </w:p>
        </w:tc>
        <w:tc>
          <w:tcPr>
            <w:tcW w:w="0" w:type="auto"/>
            <w:tcBorders>
              <w:top w:val="nil"/>
              <w:left w:val="nil"/>
              <w:bottom w:val="single" w:sz="4" w:space="0" w:color="auto"/>
              <w:right w:val="single" w:sz="4" w:space="0" w:color="auto"/>
            </w:tcBorders>
            <w:shd w:val="clear" w:color="auto" w:fill="auto"/>
            <w:vAlign w:val="center"/>
            <w:hideMark/>
          </w:tcPr>
          <w:p w14:paraId="6E48DBD1"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Resultados de procedimiento de adjudicación directa, invitación restringida y licitación. </w:t>
            </w:r>
          </w:p>
        </w:tc>
        <w:tc>
          <w:tcPr>
            <w:tcW w:w="1197" w:type="dxa"/>
            <w:tcBorders>
              <w:top w:val="nil"/>
              <w:left w:val="nil"/>
              <w:bottom w:val="single" w:sz="4" w:space="0" w:color="auto"/>
              <w:right w:val="single" w:sz="4" w:space="0" w:color="auto"/>
            </w:tcBorders>
            <w:shd w:val="clear" w:color="auto" w:fill="auto"/>
            <w:vAlign w:val="center"/>
            <w:hideMark/>
          </w:tcPr>
          <w:p w14:paraId="7C25DCC7"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25F19B8E"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758F12"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23FE873F"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Lista con el importe con el concepto de viáticos.</w:t>
            </w:r>
          </w:p>
        </w:tc>
        <w:tc>
          <w:tcPr>
            <w:tcW w:w="1197" w:type="dxa"/>
            <w:tcBorders>
              <w:top w:val="nil"/>
              <w:left w:val="nil"/>
              <w:bottom w:val="single" w:sz="4" w:space="0" w:color="auto"/>
              <w:right w:val="single" w:sz="4" w:space="0" w:color="auto"/>
            </w:tcBorders>
            <w:shd w:val="clear" w:color="auto" w:fill="auto"/>
            <w:vAlign w:val="center"/>
            <w:hideMark/>
          </w:tcPr>
          <w:p w14:paraId="76975054"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2ACB957"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965EF"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XXI</w:t>
            </w:r>
          </w:p>
        </w:tc>
        <w:tc>
          <w:tcPr>
            <w:tcW w:w="0" w:type="auto"/>
            <w:tcBorders>
              <w:top w:val="nil"/>
              <w:left w:val="nil"/>
              <w:bottom w:val="single" w:sz="4" w:space="0" w:color="auto"/>
              <w:right w:val="single" w:sz="4" w:space="0" w:color="auto"/>
            </w:tcBorders>
            <w:shd w:val="clear" w:color="auto" w:fill="auto"/>
            <w:vAlign w:val="center"/>
            <w:hideMark/>
          </w:tcPr>
          <w:p w14:paraId="54F86960"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La información financiera sobre el presupuesto asignado.</w:t>
            </w:r>
          </w:p>
        </w:tc>
        <w:tc>
          <w:tcPr>
            <w:tcW w:w="1197" w:type="dxa"/>
            <w:tcBorders>
              <w:top w:val="nil"/>
              <w:left w:val="nil"/>
              <w:bottom w:val="single" w:sz="4" w:space="0" w:color="auto"/>
              <w:right w:val="single" w:sz="4" w:space="0" w:color="auto"/>
            </w:tcBorders>
            <w:shd w:val="clear" w:color="auto" w:fill="auto"/>
            <w:vAlign w:val="center"/>
            <w:hideMark/>
          </w:tcPr>
          <w:p w14:paraId="58EF62C3"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43FBE201"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4F2B06"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XLI</w:t>
            </w:r>
          </w:p>
        </w:tc>
        <w:tc>
          <w:tcPr>
            <w:tcW w:w="0" w:type="auto"/>
            <w:tcBorders>
              <w:top w:val="nil"/>
              <w:left w:val="nil"/>
              <w:bottom w:val="single" w:sz="4" w:space="0" w:color="auto"/>
              <w:right w:val="single" w:sz="4" w:space="0" w:color="auto"/>
            </w:tcBorders>
            <w:shd w:val="clear" w:color="auto" w:fill="auto"/>
            <w:vAlign w:val="center"/>
            <w:hideMark/>
          </w:tcPr>
          <w:p w14:paraId="63327F16" w14:textId="1DB7688D"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Programas que ofrece el </w:t>
            </w:r>
            <w:r w:rsidR="008710F6" w:rsidRPr="00B92499">
              <w:rPr>
                <w:rFonts w:ascii="Arial" w:hAnsi="Arial" w:cs="Arial"/>
                <w:color w:val="000000"/>
                <w:sz w:val="20"/>
                <w:szCs w:val="20"/>
              </w:rPr>
              <w:t>sujeto obligado</w:t>
            </w:r>
            <w:r w:rsidRPr="00B92499">
              <w:rPr>
                <w:rFonts w:ascii="Arial" w:hAnsi="Arial" w:cs="Arial"/>
                <w:color w:val="000000"/>
                <w:sz w:val="20"/>
                <w:szCs w:val="20"/>
              </w:rPr>
              <w:t>, así como trámites, requisitos y formatos.</w:t>
            </w:r>
          </w:p>
        </w:tc>
        <w:tc>
          <w:tcPr>
            <w:tcW w:w="1197" w:type="dxa"/>
            <w:tcBorders>
              <w:top w:val="nil"/>
              <w:left w:val="nil"/>
              <w:bottom w:val="single" w:sz="4" w:space="0" w:color="auto"/>
              <w:right w:val="single" w:sz="4" w:space="0" w:color="auto"/>
            </w:tcBorders>
            <w:shd w:val="clear" w:color="auto" w:fill="auto"/>
            <w:vAlign w:val="center"/>
            <w:hideMark/>
          </w:tcPr>
          <w:p w14:paraId="23425D24"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93CA1D7"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1A157C"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50B6F6B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Estructura orgánica.</w:t>
            </w:r>
          </w:p>
        </w:tc>
        <w:tc>
          <w:tcPr>
            <w:tcW w:w="1197" w:type="dxa"/>
            <w:tcBorders>
              <w:top w:val="nil"/>
              <w:left w:val="nil"/>
              <w:bottom w:val="single" w:sz="4" w:space="0" w:color="auto"/>
              <w:right w:val="single" w:sz="4" w:space="0" w:color="auto"/>
            </w:tcBorders>
            <w:shd w:val="clear" w:color="auto" w:fill="auto"/>
            <w:vAlign w:val="center"/>
            <w:hideMark/>
          </w:tcPr>
          <w:p w14:paraId="16237498"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44ED18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199EE7"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2FF1F00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Facultades de cada área (dirección).</w:t>
            </w:r>
          </w:p>
        </w:tc>
        <w:tc>
          <w:tcPr>
            <w:tcW w:w="1197" w:type="dxa"/>
            <w:tcBorders>
              <w:top w:val="nil"/>
              <w:left w:val="nil"/>
              <w:bottom w:val="single" w:sz="4" w:space="0" w:color="auto"/>
              <w:right w:val="single" w:sz="4" w:space="0" w:color="auto"/>
            </w:tcBorders>
            <w:shd w:val="clear" w:color="auto" w:fill="auto"/>
            <w:vAlign w:val="center"/>
            <w:hideMark/>
          </w:tcPr>
          <w:p w14:paraId="6F928D97"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F7CC61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C891F1"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2F938DFD"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Número tal de plazas y tipos.</w:t>
            </w:r>
          </w:p>
        </w:tc>
        <w:tc>
          <w:tcPr>
            <w:tcW w:w="1197" w:type="dxa"/>
            <w:tcBorders>
              <w:top w:val="nil"/>
              <w:left w:val="nil"/>
              <w:bottom w:val="single" w:sz="4" w:space="0" w:color="auto"/>
              <w:right w:val="single" w:sz="4" w:space="0" w:color="auto"/>
            </w:tcBorders>
            <w:shd w:val="clear" w:color="auto" w:fill="auto"/>
            <w:vAlign w:val="center"/>
            <w:hideMark/>
          </w:tcPr>
          <w:p w14:paraId="4ABAE8AB"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BD03198"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C7E4EC"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3FA6351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Servicios profesionales y honorarios.</w:t>
            </w:r>
          </w:p>
        </w:tc>
        <w:tc>
          <w:tcPr>
            <w:tcW w:w="1197" w:type="dxa"/>
            <w:tcBorders>
              <w:top w:val="nil"/>
              <w:left w:val="nil"/>
              <w:bottom w:val="single" w:sz="4" w:space="0" w:color="auto"/>
              <w:right w:val="single" w:sz="4" w:space="0" w:color="auto"/>
            </w:tcBorders>
            <w:shd w:val="clear" w:color="auto" w:fill="auto"/>
            <w:vAlign w:val="center"/>
            <w:hideMark/>
          </w:tcPr>
          <w:p w14:paraId="664F508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171EB21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0B47B2"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XVIII</w:t>
            </w:r>
          </w:p>
        </w:tc>
        <w:tc>
          <w:tcPr>
            <w:tcW w:w="0" w:type="auto"/>
            <w:tcBorders>
              <w:top w:val="nil"/>
              <w:left w:val="nil"/>
              <w:bottom w:val="single" w:sz="4" w:space="0" w:color="auto"/>
              <w:right w:val="single" w:sz="4" w:space="0" w:color="auto"/>
            </w:tcBorders>
            <w:shd w:val="clear" w:color="auto" w:fill="auto"/>
            <w:vAlign w:val="center"/>
            <w:hideMark/>
          </w:tcPr>
          <w:p w14:paraId="44CA495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Servidores públicos con sanciones administrativas.</w:t>
            </w:r>
          </w:p>
        </w:tc>
        <w:tc>
          <w:tcPr>
            <w:tcW w:w="1197" w:type="dxa"/>
            <w:tcBorders>
              <w:top w:val="nil"/>
              <w:left w:val="nil"/>
              <w:bottom w:val="single" w:sz="4" w:space="0" w:color="auto"/>
              <w:right w:val="single" w:sz="4" w:space="0" w:color="auto"/>
            </w:tcBorders>
            <w:shd w:val="clear" w:color="auto" w:fill="auto"/>
            <w:vAlign w:val="center"/>
            <w:hideMark/>
          </w:tcPr>
          <w:p w14:paraId="1F6C41A2"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1FCFD03"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A2750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XXIII</w:t>
            </w:r>
          </w:p>
        </w:tc>
        <w:tc>
          <w:tcPr>
            <w:tcW w:w="0" w:type="auto"/>
            <w:tcBorders>
              <w:top w:val="nil"/>
              <w:left w:val="nil"/>
              <w:bottom w:val="single" w:sz="4" w:space="0" w:color="auto"/>
              <w:right w:val="single" w:sz="4" w:space="0" w:color="auto"/>
            </w:tcBorders>
            <w:shd w:val="clear" w:color="auto" w:fill="auto"/>
            <w:vAlign w:val="center"/>
            <w:hideMark/>
          </w:tcPr>
          <w:p w14:paraId="66700CCB"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Metas y objetivos de la Dirección conforme al POA.</w:t>
            </w:r>
          </w:p>
        </w:tc>
        <w:tc>
          <w:tcPr>
            <w:tcW w:w="1197" w:type="dxa"/>
            <w:tcBorders>
              <w:top w:val="nil"/>
              <w:left w:val="nil"/>
              <w:bottom w:val="single" w:sz="4" w:space="0" w:color="auto"/>
              <w:right w:val="single" w:sz="4" w:space="0" w:color="auto"/>
            </w:tcBorders>
            <w:shd w:val="clear" w:color="auto" w:fill="auto"/>
            <w:vAlign w:val="center"/>
            <w:hideMark/>
          </w:tcPr>
          <w:p w14:paraId="73A7A8A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D29BE61"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830B5E"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XXVII</w:t>
            </w:r>
          </w:p>
        </w:tc>
        <w:tc>
          <w:tcPr>
            <w:tcW w:w="0" w:type="auto"/>
            <w:tcBorders>
              <w:top w:val="nil"/>
              <w:left w:val="nil"/>
              <w:bottom w:val="single" w:sz="4" w:space="0" w:color="auto"/>
              <w:right w:val="single" w:sz="4" w:space="0" w:color="auto"/>
            </w:tcBorders>
            <w:shd w:val="clear" w:color="auto" w:fill="auto"/>
            <w:vAlign w:val="center"/>
            <w:hideMark/>
          </w:tcPr>
          <w:p w14:paraId="7B580697"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Dictámenes de cuenta pública y estado financieros.</w:t>
            </w:r>
          </w:p>
        </w:tc>
        <w:tc>
          <w:tcPr>
            <w:tcW w:w="1197" w:type="dxa"/>
            <w:tcBorders>
              <w:top w:val="nil"/>
              <w:left w:val="nil"/>
              <w:bottom w:val="single" w:sz="4" w:space="0" w:color="auto"/>
              <w:right w:val="single" w:sz="4" w:space="0" w:color="auto"/>
            </w:tcBorders>
            <w:shd w:val="clear" w:color="auto" w:fill="auto"/>
            <w:vAlign w:val="center"/>
            <w:hideMark/>
          </w:tcPr>
          <w:p w14:paraId="7B01BFD8"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77EEC16"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793AED"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66D6459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1197" w:type="dxa"/>
            <w:tcBorders>
              <w:top w:val="nil"/>
              <w:left w:val="nil"/>
              <w:bottom w:val="single" w:sz="4" w:space="0" w:color="auto"/>
              <w:right w:val="single" w:sz="4" w:space="0" w:color="auto"/>
            </w:tcBorders>
            <w:shd w:val="clear" w:color="auto" w:fill="auto"/>
            <w:vAlign w:val="center"/>
            <w:hideMark/>
          </w:tcPr>
          <w:p w14:paraId="453904E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49ADF6A"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33E8BA"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XXXV</w:t>
            </w:r>
          </w:p>
        </w:tc>
        <w:tc>
          <w:tcPr>
            <w:tcW w:w="0" w:type="auto"/>
            <w:tcBorders>
              <w:top w:val="nil"/>
              <w:left w:val="nil"/>
              <w:bottom w:val="single" w:sz="4" w:space="0" w:color="auto"/>
              <w:right w:val="single" w:sz="4" w:space="0" w:color="auto"/>
            </w:tcBorders>
            <w:shd w:val="clear" w:color="auto" w:fill="auto"/>
            <w:vAlign w:val="center"/>
            <w:hideMark/>
          </w:tcPr>
          <w:p w14:paraId="3173EE27"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Convenios de coordinación de concertación con los sectores sociales y privado.</w:t>
            </w:r>
          </w:p>
        </w:tc>
        <w:tc>
          <w:tcPr>
            <w:tcW w:w="1197" w:type="dxa"/>
            <w:tcBorders>
              <w:top w:val="nil"/>
              <w:left w:val="nil"/>
              <w:bottom w:val="single" w:sz="4" w:space="0" w:color="auto"/>
              <w:right w:val="single" w:sz="4" w:space="0" w:color="auto"/>
            </w:tcBorders>
            <w:shd w:val="clear" w:color="auto" w:fill="auto"/>
            <w:vAlign w:val="center"/>
            <w:hideMark/>
          </w:tcPr>
          <w:p w14:paraId="47842C0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190493CF"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79C68A"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3EC27E97" w14:textId="51C9242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467F3442"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4D5A2F53"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A718C8"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XLII</w:t>
            </w:r>
          </w:p>
        </w:tc>
        <w:tc>
          <w:tcPr>
            <w:tcW w:w="0" w:type="auto"/>
            <w:tcBorders>
              <w:top w:val="nil"/>
              <w:left w:val="nil"/>
              <w:bottom w:val="single" w:sz="4" w:space="0" w:color="auto"/>
              <w:right w:val="single" w:sz="4" w:space="0" w:color="auto"/>
            </w:tcBorders>
            <w:shd w:val="clear" w:color="auto" w:fill="auto"/>
            <w:vAlign w:val="center"/>
            <w:hideMark/>
          </w:tcPr>
          <w:p w14:paraId="286E8D6B" w14:textId="0A89D50A"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Información relacionada con los programas y centros destinados a la práctica de actividad física, </w:t>
            </w:r>
            <w:r w:rsidR="003C6FE5" w:rsidRPr="00B92499">
              <w:rPr>
                <w:rFonts w:ascii="Arial" w:hAnsi="Arial" w:cs="Arial"/>
                <w:color w:val="000000"/>
                <w:sz w:val="20"/>
                <w:szCs w:val="20"/>
              </w:rPr>
              <w:t>ejercicio</w:t>
            </w:r>
            <w:r w:rsidRPr="00B92499">
              <w:rPr>
                <w:rFonts w:ascii="Arial" w:hAnsi="Arial" w:cs="Arial"/>
                <w:color w:val="000000"/>
                <w:sz w:val="20"/>
                <w:szCs w:val="20"/>
              </w:rPr>
              <w:t xml:space="preserve"> y deporte. </w:t>
            </w:r>
          </w:p>
        </w:tc>
        <w:tc>
          <w:tcPr>
            <w:tcW w:w="1197" w:type="dxa"/>
            <w:tcBorders>
              <w:top w:val="nil"/>
              <w:left w:val="nil"/>
              <w:bottom w:val="single" w:sz="4" w:space="0" w:color="auto"/>
              <w:right w:val="single" w:sz="4" w:space="0" w:color="auto"/>
            </w:tcBorders>
            <w:shd w:val="clear" w:color="auto" w:fill="auto"/>
            <w:vAlign w:val="center"/>
            <w:hideMark/>
          </w:tcPr>
          <w:p w14:paraId="343416C4"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74A04AC"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D65FFE"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lastRenderedPageBreak/>
              <w:t>XLIV</w:t>
            </w:r>
          </w:p>
        </w:tc>
        <w:tc>
          <w:tcPr>
            <w:tcW w:w="0" w:type="auto"/>
            <w:tcBorders>
              <w:top w:val="nil"/>
              <w:left w:val="nil"/>
              <w:bottom w:val="single" w:sz="4" w:space="0" w:color="auto"/>
              <w:right w:val="single" w:sz="4" w:space="0" w:color="auto"/>
            </w:tcBorders>
            <w:shd w:val="clear" w:color="auto" w:fill="auto"/>
            <w:vAlign w:val="center"/>
            <w:hideMark/>
          </w:tcPr>
          <w:p w14:paraId="162D48C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Evaluaciones y encuestas a programas financiados con recursos públicos. </w:t>
            </w:r>
          </w:p>
        </w:tc>
        <w:tc>
          <w:tcPr>
            <w:tcW w:w="1197" w:type="dxa"/>
            <w:tcBorders>
              <w:top w:val="nil"/>
              <w:left w:val="nil"/>
              <w:bottom w:val="single" w:sz="4" w:space="0" w:color="auto"/>
              <w:right w:val="single" w:sz="4" w:space="0" w:color="auto"/>
            </w:tcBorders>
            <w:shd w:val="clear" w:color="auto" w:fill="auto"/>
            <w:vAlign w:val="center"/>
            <w:hideMark/>
          </w:tcPr>
          <w:p w14:paraId="624DA1E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CAB352A"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A212D3"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XLV</w:t>
            </w:r>
          </w:p>
        </w:tc>
        <w:tc>
          <w:tcPr>
            <w:tcW w:w="0" w:type="auto"/>
            <w:tcBorders>
              <w:top w:val="nil"/>
              <w:left w:val="nil"/>
              <w:bottom w:val="single" w:sz="4" w:space="0" w:color="auto"/>
              <w:right w:val="single" w:sz="4" w:space="0" w:color="auto"/>
            </w:tcBorders>
            <w:shd w:val="clear" w:color="auto" w:fill="auto"/>
            <w:vAlign w:val="center"/>
            <w:hideMark/>
          </w:tcPr>
          <w:p w14:paraId="5DB90869"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1197" w:type="dxa"/>
            <w:tcBorders>
              <w:top w:val="nil"/>
              <w:left w:val="nil"/>
              <w:bottom w:val="single" w:sz="4" w:space="0" w:color="auto"/>
              <w:right w:val="single" w:sz="4" w:space="0" w:color="auto"/>
            </w:tcBorders>
            <w:shd w:val="clear" w:color="auto" w:fill="auto"/>
            <w:vAlign w:val="center"/>
            <w:hideMark/>
          </w:tcPr>
          <w:p w14:paraId="1E84833B"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3C7F2D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23781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XLVI</w:t>
            </w:r>
          </w:p>
        </w:tc>
        <w:tc>
          <w:tcPr>
            <w:tcW w:w="0" w:type="auto"/>
            <w:tcBorders>
              <w:top w:val="nil"/>
              <w:left w:val="nil"/>
              <w:bottom w:val="single" w:sz="4" w:space="0" w:color="auto"/>
              <w:right w:val="single" w:sz="4" w:space="0" w:color="auto"/>
            </w:tcBorders>
            <w:shd w:val="clear" w:color="auto" w:fill="auto"/>
            <w:vAlign w:val="center"/>
            <w:hideMark/>
          </w:tcPr>
          <w:p w14:paraId="7EC27FB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Listado de jubilados y pensionados y monto que reciben.</w:t>
            </w:r>
          </w:p>
        </w:tc>
        <w:tc>
          <w:tcPr>
            <w:tcW w:w="1197" w:type="dxa"/>
            <w:tcBorders>
              <w:top w:val="nil"/>
              <w:left w:val="nil"/>
              <w:bottom w:val="single" w:sz="4" w:space="0" w:color="auto"/>
              <w:right w:val="single" w:sz="4" w:space="0" w:color="auto"/>
            </w:tcBorders>
            <w:shd w:val="clear" w:color="auto" w:fill="auto"/>
            <w:vAlign w:val="center"/>
            <w:hideMark/>
          </w:tcPr>
          <w:p w14:paraId="06AA7144"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172C3960"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BB808A"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XLVII</w:t>
            </w:r>
          </w:p>
        </w:tc>
        <w:tc>
          <w:tcPr>
            <w:tcW w:w="0" w:type="auto"/>
            <w:tcBorders>
              <w:top w:val="nil"/>
              <w:left w:val="nil"/>
              <w:bottom w:val="single" w:sz="4" w:space="0" w:color="auto"/>
              <w:right w:val="single" w:sz="4" w:space="0" w:color="auto"/>
            </w:tcBorders>
            <w:shd w:val="clear" w:color="auto" w:fill="auto"/>
            <w:vAlign w:val="center"/>
            <w:hideMark/>
          </w:tcPr>
          <w:p w14:paraId="0C3EF997"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Los ingresos recibidos por cualquier concepto.</w:t>
            </w:r>
          </w:p>
        </w:tc>
        <w:tc>
          <w:tcPr>
            <w:tcW w:w="1197" w:type="dxa"/>
            <w:tcBorders>
              <w:top w:val="nil"/>
              <w:left w:val="nil"/>
              <w:bottom w:val="single" w:sz="4" w:space="0" w:color="auto"/>
              <w:right w:val="single" w:sz="4" w:space="0" w:color="auto"/>
            </w:tcBorders>
            <w:shd w:val="clear" w:color="auto" w:fill="auto"/>
            <w:vAlign w:val="center"/>
            <w:hideMark/>
          </w:tcPr>
          <w:p w14:paraId="66F9C5F5"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54201E8"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A1C489"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XLVIII</w:t>
            </w:r>
          </w:p>
        </w:tc>
        <w:tc>
          <w:tcPr>
            <w:tcW w:w="0" w:type="auto"/>
            <w:tcBorders>
              <w:top w:val="nil"/>
              <w:left w:val="nil"/>
              <w:bottom w:val="single" w:sz="4" w:space="0" w:color="auto"/>
              <w:right w:val="single" w:sz="4" w:space="0" w:color="auto"/>
            </w:tcBorders>
            <w:shd w:val="clear" w:color="auto" w:fill="auto"/>
            <w:vAlign w:val="center"/>
            <w:hideMark/>
          </w:tcPr>
          <w:p w14:paraId="56FD7922"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Donaciones en dinero o especie hechas por terceros. </w:t>
            </w:r>
          </w:p>
        </w:tc>
        <w:tc>
          <w:tcPr>
            <w:tcW w:w="1197" w:type="dxa"/>
            <w:tcBorders>
              <w:top w:val="nil"/>
              <w:left w:val="nil"/>
              <w:bottom w:val="single" w:sz="4" w:space="0" w:color="auto"/>
              <w:right w:val="single" w:sz="4" w:space="0" w:color="auto"/>
            </w:tcBorders>
            <w:shd w:val="clear" w:color="auto" w:fill="auto"/>
            <w:vAlign w:val="center"/>
            <w:hideMark/>
          </w:tcPr>
          <w:p w14:paraId="551D047D"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B6429F1"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FFA98"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774D86D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El catálogo de disposición y guía de archivo documental. </w:t>
            </w:r>
          </w:p>
        </w:tc>
        <w:tc>
          <w:tcPr>
            <w:tcW w:w="1197" w:type="dxa"/>
            <w:tcBorders>
              <w:top w:val="nil"/>
              <w:left w:val="nil"/>
              <w:bottom w:val="single" w:sz="4" w:space="0" w:color="auto"/>
              <w:right w:val="single" w:sz="4" w:space="0" w:color="auto"/>
            </w:tcBorders>
            <w:shd w:val="clear" w:color="auto" w:fill="auto"/>
            <w:vAlign w:val="center"/>
            <w:hideMark/>
          </w:tcPr>
          <w:p w14:paraId="743AB5FA"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89E9C6D"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A9A83E"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LI</w:t>
            </w:r>
          </w:p>
        </w:tc>
        <w:tc>
          <w:tcPr>
            <w:tcW w:w="0" w:type="auto"/>
            <w:tcBorders>
              <w:top w:val="nil"/>
              <w:left w:val="nil"/>
              <w:bottom w:val="single" w:sz="4" w:space="0" w:color="auto"/>
              <w:right w:val="single" w:sz="4" w:space="0" w:color="auto"/>
            </w:tcBorders>
            <w:shd w:val="clear" w:color="auto" w:fill="auto"/>
            <w:vAlign w:val="center"/>
            <w:hideMark/>
          </w:tcPr>
          <w:p w14:paraId="33A81403"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Listado de solicitudes a las empresas concesionarias de telecomunicaciones y proveedores de servicios de internet para la intervención de comunicaciones y la geolocalización. </w:t>
            </w:r>
          </w:p>
        </w:tc>
        <w:tc>
          <w:tcPr>
            <w:tcW w:w="1197" w:type="dxa"/>
            <w:tcBorders>
              <w:top w:val="nil"/>
              <w:left w:val="nil"/>
              <w:bottom w:val="single" w:sz="4" w:space="0" w:color="auto"/>
              <w:right w:val="single" w:sz="4" w:space="0" w:color="auto"/>
            </w:tcBorders>
            <w:shd w:val="clear" w:color="auto" w:fill="auto"/>
            <w:vAlign w:val="center"/>
            <w:hideMark/>
          </w:tcPr>
          <w:p w14:paraId="5214877D"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08D44F7"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E3EF84"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LIII</w:t>
            </w:r>
          </w:p>
        </w:tc>
        <w:tc>
          <w:tcPr>
            <w:tcW w:w="0" w:type="auto"/>
            <w:tcBorders>
              <w:top w:val="nil"/>
              <w:left w:val="nil"/>
              <w:bottom w:val="single" w:sz="4" w:space="0" w:color="auto"/>
              <w:right w:val="single" w:sz="4" w:space="0" w:color="auto"/>
            </w:tcBorders>
            <w:shd w:val="clear" w:color="auto" w:fill="auto"/>
            <w:vAlign w:val="center"/>
            <w:hideMark/>
          </w:tcPr>
          <w:p w14:paraId="7E6886C5"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La ubicación de todas las obras públicas. </w:t>
            </w:r>
          </w:p>
        </w:tc>
        <w:tc>
          <w:tcPr>
            <w:tcW w:w="1197" w:type="dxa"/>
            <w:tcBorders>
              <w:top w:val="nil"/>
              <w:left w:val="nil"/>
              <w:bottom w:val="single" w:sz="4" w:space="0" w:color="auto"/>
              <w:right w:val="single" w:sz="4" w:space="0" w:color="auto"/>
            </w:tcBorders>
            <w:shd w:val="clear" w:color="auto" w:fill="auto"/>
            <w:vAlign w:val="center"/>
            <w:hideMark/>
          </w:tcPr>
          <w:p w14:paraId="0B074275"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6DD9F6B"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9B95FE"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LIV</w:t>
            </w:r>
          </w:p>
        </w:tc>
        <w:tc>
          <w:tcPr>
            <w:tcW w:w="0" w:type="auto"/>
            <w:tcBorders>
              <w:top w:val="nil"/>
              <w:left w:val="nil"/>
              <w:bottom w:val="single" w:sz="4" w:space="0" w:color="auto"/>
              <w:right w:val="single" w:sz="4" w:space="0" w:color="auto"/>
            </w:tcBorders>
            <w:shd w:val="clear" w:color="auto" w:fill="auto"/>
            <w:vAlign w:val="center"/>
            <w:hideMark/>
          </w:tcPr>
          <w:p w14:paraId="09D5F81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Personas beneficiadas, la temporalidad, los montos y todo aquello relacionado con el acto administrativo de los incentivos, condonaciones, reducciones fiscales, concesiones, permisos o licencias, entre otros actos. </w:t>
            </w:r>
          </w:p>
        </w:tc>
        <w:tc>
          <w:tcPr>
            <w:tcW w:w="1197" w:type="dxa"/>
            <w:tcBorders>
              <w:top w:val="nil"/>
              <w:left w:val="nil"/>
              <w:bottom w:val="single" w:sz="4" w:space="0" w:color="auto"/>
              <w:right w:val="single" w:sz="4" w:space="0" w:color="auto"/>
            </w:tcBorders>
            <w:shd w:val="clear" w:color="auto" w:fill="auto"/>
            <w:vAlign w:val="center"/>
            <w:hideMark/>
          </w:tcPr>
          <w:p w14:paraId="709B0A0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18E16CA"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3987BC"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5D193C85"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Metas y objetivos de la Dirección. </w:t>
            </w:r>
          </w:p>
        </w:tc>
        <w:tc>
          <w:tcPr>
            <w:tcW w:w="1197" w:type="dxa"/>
            <w:tcBorders>
              <w:top w:val="nil"/>
              <w:left w:val="nil"/>
              <w:bottom w:val="single" w:sz="4" w:space="0" w:color="auto"/>
              <w:right w:val="single" w:sz="4" w:space="0" w:color="auto"/>
            </w:tcBorders>
            <w:shd w:val="clear" w:color="auto" w:fill="auto"/>
            <w:vAlign w:val="center"/>
            <w:hideMark/>
          </w:tcPr>
          <w:p w14:paraId="2C3392A9"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D1C43E8"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0D2277"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39F01C54"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Indicadores de temas de interés público.</w:t>
            </w:r>
          </w:p>
        </w:tc>
        <w:tc>
          <w:tcPr>
            <w:tcW w:w="1197" w:type="dxa"/>
            <w:tcBorders>
              <w:top w:val="nil"/>
              <w:left w:val="nil"/>
              <w:bottom w:val="single" w:sz="4" w:space="0" w:color="auto"/>
              <w:right w:val="single" w:sz="4" w:space="0" w:color="auto"/>
            </w:tcBorders>
            <w:shd w:val="clear" w:color="auto" w:fill="auto"/>
            <w:vAlign w:val="center"/>
            <w:hideMark/>
          </w:tcPr>
          <w:p w14:paraId="4B7B87F9"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9D172B2"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5FD11"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03AA2A3B"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Directorio del área.</w:t>
            </w:r>
          </w:p>
        </w:tc>
        <w:tc>
          <w:tcPr>
            <w:tcW w:w="1197" w:type="dxa"/>
            <w:tcBorders>
              <w:top w:val="nil"/>
              <w:left w:val="nil"/>
              <w:bottom w:val="single" w:sz="4" w:space="0" w:color="auto"/>
              <w:right w:val="single" w:sz="4" w:space="0" w:color="auto"/>
            </w:tcBorders>
            <w:shd w:val="clear" w:color="auto" w:fill="auto"/>
            <w:vAlign w:val="center"/>
            <w:hideMark/>
          </w:tcPr>
          <w:p w14:paraId="3222BDA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238BD90"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2A131E"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302C5ADD" w14:textId="64BEA2B8"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Remuneraciones mensual bruta y neta</w:t>
            </w:r>
            <w:r w:rsidR="003C6FE5"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30A69898"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45044D1"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CCF59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32F63EC8"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Declaraciones 3de3.</w:t>
            </w:r>
          </w:p>
        </w:tc>
        <w:tc>
          <w:tcPr>
            <w:tcW w:w="1197" w:type="dxa"/>
            <w:tcBorders>
              <w:top w:val="nil"/>
              <w:left w:val="nil"/>
              <w:bottom w:val="single" w:sz="4" w:space="0" w:color="auto"/>
              <w:right w:val="single" w:sz="4" w:space="0" w:color="auto"/>
            </w:tcBorders>
            <w:shd w:val="clear" w:color="auto" w:fill="auto"/>
            <w:vAlign w:val="center"/>
            <w:hideMark/>
          </w:tcPr>
          <w:p w14:paraId="2BD34D7B"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79E9B33"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6CFDA8"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4E4C204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1197" w:type="dxa"/>
            <w:tcBorders>
              <w:top w:val="nil"/>
              <w:left w:val="nil"/>
              <w:bottom w:val="single" w:sz="4" w:space="0" w:color="auto"/>
              <w:right w:val="single" w:sz="4" w:space="0" w:color="auto"/>
            </w:tcBorders>
            <w:shd w:val="clear" w:color="auto" w:fill="auto"/>
            <w:vAlign w:val="center"/>
            <w:hideMark/>
          </w:tcPr>
          <w:p w14:paraId="597EFC36"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2407359A"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B4EFD6"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XV</w:t>
            </w:r>
          </w:p>
        </w:tc>
        <w:tc>
          <w:tcPr>
            <w:tcW w:w="0" w:type="auto"/>
            <w:tcBorders>
              <w:top w:val="nil"/>
              <w:left w:val="nil"/>
              <w:bottom w:val="single" w:sz="4" w:space="0" w:color="auto"/>
              <w:right w:val="single" w:sz="4" w:space="0" w:color="auto"/>
            </w:tcBorders>
            <w:shd w:val="clear" w:color="auto" w:fill="auto"/>
            <w:vAlign w:val="center"/>
            <w:hideMark/>
          </w:tcPr>
          <w:p w14:paraId="2A61A568"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Información curricular y perfil de puestos.</w:t>
            </w:r>
          </w:p>
        </w:tc>
        <w:tc>
          <w:tcPr>
            <w:tcW w:w="1197" w:type="dxa"/>
            <w:tcBorders>
              <w:top w:val="nil"/>
              <w:left w:val="nil"/>
              <w:bottom w:val="single" w:sz="4" w:space="0" w:color="auto"/>
              <w:right w:val="single" w:sz="4" w:space="0" w:color="auto"/>
            </w:tcBorders>
            <w:shd w:val="clear" w:color="auto" w:fill="auto"/>
            <w:vAlign w:val="center"/>
            <w:hideMark/>
          </w:tcPr>
          <w:p w14:paraId="7F13574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1B0D12C"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0187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XVI</w:t>
            </w:r>
          </w:p>
        </w:tc>
        <w:tc>
          <w:tcPr>
            <w:tcW w:w="0" w:type="auto"/>
            <w:tcBorders>
              <w:top w:val="nil"/>
              <w:left w:val="nil"/>
              <w:bottom w:val="single" w:sz="4" w:space="0" w:color="auto"/>
              <w:right w:val="single" w:sz="4" w:space="0" w:color="auto"/>
            </w:tcBorders>
            <w:shd w:val="clear" w:color="auto" w:fill="auto"/>
            <w:vAlign w:val="center"/>
            <w:hideMark/>
          </w:tcPr>
          <w:p w14:paraId="6FD70D3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Condiciones generales de trabajo, contratos y convenios que regulen la relación laboral, recursos otorgados a sindicatos.</w:t>
            </w:r>
          </w:p>
        </w:tc>
        <w:tc>
          <w:tcPr>
            <w:tcW w:w="1197" w:type="dxa"/>
            <w:tcBorders>
              <w:top w:val="nil"/>
              <w:left w:val="nil"/>
              <w:bottom w:val="single" w:sz="4" w:space="0" w:color="auto"/>
              <w:right w:val="single" w:sz="4" w:space="0" w:color="auto"/>
            </w:tcBorders>
            <w:shd w:val="clear" w:color="auto" w:fill="auto"/>
            <w:vAlign w:val="center"/>
            <w:hideMark/>
          </w:tcPr>
          <w:p w14:paraId="28236A46"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CF26AF5"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558BB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XVII</w:t>
            </w:r>
          </w:p>
        </w:tc>
        <w:tc>
          <w:tcPr>
            <w:tcW w:w="0" w:type="auto"/>
            <w:tcBorders>
              <w:top w:val="nil"/>
              <w:left w:val="nil"/>
              <w:bottom w:val="single" w:sz="4" w:space="0" w:color="auto"/>
              <w:right w:val="single" w:sz="4" w:space="0" w:color="auto"/>
            </w:tcBorders>
            <w:shd w:val="clear" w:color="auto" w:fill="auto"/>
            <w:vAlign w:val="center"/>
            <w:hideMark/>
          </w:tcPr>
          <w:p w14:paraId="17DD6903"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CV de jefe de departamento para arriba.</w:t>
            </w:r>
          </w:p>
        </w:tc>
        <w:tc>
          <w:tcPr>
            <w:tcW w:w="1197" w:type="dxa"/>
            <w:tcBorders>
              <w:top w:val="nil"/>
              <w:left w:val="nil"/>
              <w:bottom w:val="single" w:sz="4" w:space="0" w:color="auto"/>
              <w:right w:val="single" w:sz="4" w:space="0" w:color="auto"/>
            </w:tcBorders>
            <w:shd w:val="clear" w:color="auto" w:fill="auto"/>
            <w:vAlign w:val="center"/>
            <w:hideMark/>
          </w:tcPr>
          <w:p w14:paraId="24124BCB"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88B2F1D"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FE2C6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73F9EE0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1197" w:type="dxa"/>
            <w:tcBorders>
              <w:top w:val="nil"/>
              <w:left w:val="nil"/>
              <w:bottom w:val="single" w:sz="4" w:space="0" w:color="auto"/>
              <w:right w:val="single" w:sz="4" w:space="0" w:color="auto"/>
            </w:tcBorders>
            <w:shd w:val="clear" w:color="auto" w:fill="auto"/>
            <w:vAlign w:val="center"/>
            <w:hideMark/>
          </w:tcPr>
          <w:p w14:paraId="562DDD2F"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5BB66A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9B399C"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33FDF9D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Trámites que ofrecen y requisitos.</w:t>
            </w:r>
          </w:p>
        </w:tc>
        <w:tc>
          <w:tcPr>
            <w:tcW w:w="1197" w:type="dxa"/>
            <w:tcBorders>
              <w:top w:val="nil"/>
              <w:left w:val="nil"/>
              <w:bottom w:val="single" w:sz="4" w:space="0" w:color="auto"/>
              <w:right w:val="single" w:sz="4" w:space="0" w:color="auto"/>
            </w:tcBorders>
            <w:shd w:val="clear" w:color="auto" w:fill="auto"/>
            <w:vAlign w:val="center"/>
            <w:hideMark/>
          </w:tcPr>
          <w:p w14:paraId="3166F46A"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E78715B"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5D7D25"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XXII</w:t>
            </w:r>
          </w:p>
        </w:tc>
        <w:tc>
          <w:tcPr>
            <w:tcW w:w="0" w:type="auto"/>
            <w:tcBorders>
              <w:top w:val="nil"/>
              <w:left w:val="nil"/>
              <w:bottom w:val="single" w:sz="4" w:space="0" w:color="auto"/>
              <w:right w:val="single" w:sz="4" w:space="0" w:color="auto"/>
            </w:tcBorders>
            <w:shd w:val="clear" w:color="auto" w:fill="auto"/>
            <w:vAlign w:val="center"/>
            <w:hideMark/>
          </w:tcPr>
          <w:p w14:paraId="4A96A691"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Programas Operativos Anuales y de trabajo.</w:t>
            </w:r>
          </w:p>
        </w:tc>
        <w:tc>
          <w:tcPr>
            <w:tcW w:w="1197" w:type="dxa"/>
            <w:tcBorders>
              <w:top w:val="nil"/>
              <w:left w:val="nil"/>
              <w:bottom w:val="single" w:sz="4" w:space="0" w:color="auto"/>
              <w:right w:val="single" w:sz="4" w:space="0" w:color="auto"/>
            </w:tcBorders>
            <w:shd w:val="clear" w:color="auto" w:fill="auto"/>
            <w:vAlign w:val="center"/>
            <w:hideMark/>
          </w:tcPr>
          <w:p w14:paraId="1080F66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699DB6A"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A1778B"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XXIV</w:t>
            </w:r>
          </w:p>
        </w:tc>
        <w:tc>
          <w:tcPr>
            <w:tcW w:w="0" w:type="auto"/>
            <w:tcBorders>
              <w:top w:val="nil"/>
              <w:left w:val="nil"/>
              <w:bottom w:val="single" w:sz="4" w:space="0" w:color="auto"/>
              <w:right w:val="single" w:sz="4" w:space="0" w:color="auto"/>
            </w:tcBorders>
            <w:shd w:val="clear" w:color="auto" w:fill="auto"/>
            <w:vAlign w:val="center"/>
            <w:hideMark/>
          </w:tcPr>
          <w:p w14:paraId="2673CDE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Información relativa a la cuenta y deuda públicas.</w:t>
            </w:r>
          </w:p>
        </w:tc>
        <w:tc>
          <w:tcPr>
            <w:tcW w:w="1197" w:type="dxa"/>
            <w:tcBorders>
              <w:top w:val="nil"/>
              <w:left w:val="nil"/>
              <w:bottom w:val="single" w:sz="4" w:space="0" w:color="auto"/>
              <w:right w:val="single" w:sz="4" w:space="0" w:color="auto"/>
            </w:tcBorders>
            <w:shd w:val="clear" w:color="auto" w:fill="auto"/>
            <w:vAlign w:val="center"/>
            <w:hideMark/>
          </w:tcPr>
          <w:p w14:paraId="43AF493F"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4BDF91C"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835011"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13A37EDC" w14:textId="32709986"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Informes de resultados de </w:t>
            </w:r>
            <w:r w:rsidR="00C7683E" w:rsidRPr="00B92499">
              <w:rPr>
                <w:rFonts w:ascii="Arial" w:hAnsi="Arial" w:cs="Arial"/>
                <w:color w:val="000000"/>
                <w:sz w:val="20"/>
                <w:szCs w:val="20"/>
              </w:rPr>
              <w:t>auditorías</w:t>
            </w:r>
            <w:r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024679D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60C25D4B"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0AA19B"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XXVIII</w:t>
            </w:r>
          </w:p>
        </w:tc>
        <w:tc>
          <w:tcPr>
            <w:tcW w:w="0" w:type="auto"/>
            <w:tcBorders>
              <w:top w:val="nil"/>
              <w:left w:val="nil"/>
              <w:bottom w:val="single" w:sz="4" w:space="0" w:color="auto"/>
              <w:right w:val="single" w:sz="4" w:space="0" w:color="auto"/>
            </w:tcBorders>
            <w:shd w:val="clear" w:color="auto" w:fill="auto"/>
            <w:vAlign w:val="center"/>
            <w:hideMark/>
          </w:tcPr>
          <w:p w14:paraId="1DE6A083"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Montos, criterios, convocatoria y convocatorias de personas físicas y morales que reciban recursos públicos o realicen actos de autoridad. </w:t>
            </w:r>
          </w:p>
        </w:tc>
        <w:tc>
          <w:tcPr>
            <w:tcW w:w="1197" w:type="dxa"/>
            <w:tcBorders>
              <w:top w:val="nil"/>
              <w:left w:val="nil"/>
              <w:bottom w:val="single" w:sz="4" w:space="0" w:color="auto"/>
              <w:right w:val="single" w:sz="4" w:space="0" w:color="auto"/>
            </w:tcBorders>
            <w:shd w:val="clear" w:color="auto" w:fill="auto"/>
            <w:vAlign w:val="center"/>
            <w:hideMark/>
          </w:tcPr>
          <w:p w14:paraId="33A875F7"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2DA1F49F"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81FAE9"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64838F5D"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Estadísticas que generen.</w:t>
            </w:r>
          </w:p>
        </w:tc>
        <w:tc>
          <w:tcPr>
            <w:tcW w:w="1197" w:type="dxa"/>
            <w:tcBorders>
              <w:top w:val="nil"/>
              <w:left w:val="nil"/>
              <w:bottom w:val="single" w:sz="4" w:space="0" w:color="auto"/>
              <w:right w:val="single" w:sz="4" w:space="0" w:color="auto"/>
            </w:tcBorders>
            <w:shd w:val="clear" w:color="auto" w:fill="auto"/>
            <w:vAlign w:val="center"/>
            <w:hideMark/>
          </w:tcPr>
          <w:p w14:paraId="261FD102"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8AA2BAF"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3248C3"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XXXIV</w:t>
            </w:r>
          </w:p>
        </w:tc>
        <w:tc>
          <w:tcPr>
            <w:tcW w:w="0" w:type="auto"/>
            <w:tcBorders>
              <w:top w:val="nil"/>
              <w:left w:val="nil"/>
              <w:bottom w:val="single" w:sz="4" w:space="0" w:color="auto"/>
              <w:right w:val="single" w:sz="4" w:space="0" w:color="auto"/>
            </w:tcBorders>
            <w:shd w:val="clear" w:color="auto" w:fill="auto"/>
            <w:vAlign w:val="center"/>
            <w:hideMark/>
          </w:tcPr>
          <w:p w14:paraId="591E21E0"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Padrón de proveedores y contratistas. </w:t>
            </w:r>
          </w:p>
        </w:tc>
        <w:tc>
          <w:tcPr>
            <w:tcW w:w="1197" w:type="dxa"/>
            <w:tcBorders>
              <w:top w:val="nil"/>
              <w:left w:val="nil"/>
              <w:bottom w:val="single" w:sz="4" w:space="0" w:color="auto"/>
              <w:right w:val="single" w:sz="4" w:space="0" w:color="auto"/>
            </w:tcBorders>
            <w:shd w:val="clear" w:color="auto" w:fill="auto"/>
            <w:vAlign w:val="center"/>
            <w:hideMark/>
          </w:tcPr>
          <w:p w14:paraId="740681B0"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76A41055"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5A9E08"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w:t>
            </w:r>
          </w:p>
        </w:tc>
        <w:tc>
          <w:tcPr>
            <w:tcW w:w="0" w:type="auto"/>
            <w:tcBorders>
              <w:top w:val="nil"/>
              <w:left w:val="nil"/>
              <w:bottom w:val="single" w:sz="4" w:space="0" w:color="auto"/>
              <w:right w:val="single" w:sz="4" w:space="0" w:color="auto"/>
            </w:tcBorders>
            <w:shd w:val="clear" w:color="auto" w:fill="auto"/>
            <w:vAlign w:val="center"/>
            <w:hideMark/>
          </w:tcPr>
          <w:p w14:paraId="766D815A"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Mecanismos de participación ciudadana.</w:t>
            </w:r>
          </w:p>
        </w:tc>
        <w:tc>
          <w:tcPr>
            <w:tcW w:w="1197" w:type="dxa"/>
            <w:tcBorders>
              <w:top w:val="nil"/>
              <w:left w:val="nil"/>
              <w:bottom w:val="single" w:sz="4" w:space="0" w:color="auto"/>
              <w:right w:val="single" w:sz="4" w:space="0" w:color="auto"/>
            </w:tcBorders>
            <w:shd w:val="clear" w:color="auto" w:fill="auto"/>
            <w:vAlign w:val="center"/>
            <w:hideMark/>
          </w:tcPr>
          <w:p w14:paraId="620861FD"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2FC1FC22"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137C86"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799CED07"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1197" w:type="dxa"/>
            <w:tcBorders>
              <w:top w:val="nil"/>
              <w:left w:val="nil"/>
              <w:bottom w:val="single" w:sz="4" w:space="0" w:color="auto"/>
              <w:right w:val="single" w:sz="4" w:space="0" w:color="auto"/>
            </w:tcBorders>
            <w:shd w:val="clear" w:color="auto" w:fill="auto"/>
            <w:vAlign w:val="center"/>
            <w:hideMark/>
          </w:tcPr>
          <w:p w14:paraId="143E2945"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D77222C"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F26371"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L</w:t>
            </w:r>
          </w:p>
        </w:tc>
        <w:tc>
          <w:tcPr>
            <w:tcW w:w="0" w:type="auto"/>
            <w:tcBorders>
              <w:top w:val="nil"/>
              <w:left w:val="nil"/>
              <w:bottom w:val="single" w:sz="4" w:space="0" w:color="auto"/>
              <w:right w:val="single" w:sz="4" w:space="0" w:color="auto"/>
            </w:tcBorders>
            <w:shd w:val="clear" w:color="auto" w:fill="auto"/>
            <w:vAlign w:val="center"/>
            <w:hideMark/>
          </w:tcPr>
          <w:p w14:paraId="50DDBDA4"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La calendarización, minutas y actas de las reuniones públicas de los consejos, colegiados, gabinetes, sesiones plenarias, comités, comisiones y sesiones de trabajo. </w:t>
            </w:r>
          </w:p>
        </w:tc>
        <w:tc>
          <w:tcPr>
            <w:tcW w:w="1197" w:type="dxa"/>
            <w:tcBorders>
              <w:top w:val="nil"/>
              <w:left w:val="nil"/>
              <w:bottom w:val="single" w:sz="4" w:space="0" w:color="auto"/>
              <w:right w:val="single" w:sz="4" w:space="0" w:color="auto"/>
            </w:tcBorders>
            <w:shd w:val="clear" w:color="auto" w:fill="auto"/>
            <w:vAlign w:val="center"/>
            <w:hideMark/>
          </w:tcPr>
          <w:p w14:paraId="65C12361"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26980E1"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66B4F9"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653976C4"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Cualquier otra información que sea de utilidad o se considere relevante. </w:t>
            </w:r>
          </w:p>
        </w:tc>
        <w:tc>
          <w:tcPr>
            <w:tcW w:w="1197" w:type="dxa"/>
            <w:tcBorders>
              <w:top w:val="nil"/>
              <w:left w:val="nil"/>
              <w:bottom w:val="single" w:sz="4" w:space="0" w:color="auto"/>
              <w:right w:val="single" w:sz="4" w:space="0" w:color="auto"/>
            </w:tcBorders>
            <w:shd w:val="clear" w:color="auto" w:fill="auto"/>
            <w:vAlign w:val="center"/>
            <w:hideMark/>
          </w:tcPr>
          <w:p w14:paraId="688E33E3"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5817FD2B"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82036B"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5AC9E4E1" w14:textId="14120C9B"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Indicadores de gestión</w:t>
            </w:r>
            <w:r w:rsidR="003C6FE5" w:rsidRPr="00B92499">
              <w:rPr>
                <w:rFonts w:ascii="Arial" w:hAnsi="Arial" w:cs="Arial"/>
                <w:color w:val="000000"/>
                <w:sz w:val="20"/>
                <w:szCs w:val="20"/>
              </w:rPr>
              <w:t>.</w:t>
            </w:r>
          </w:p>
        </w:tc>
        <w:tc>
          <w:tcPr>
            <w:tcW w:w="1197" w:type="dxa"/>
            <w:tcBorders>
              <w:top w:val="nil"/>
              <w:left w:val="nil"/>
              <w:bottom w:val="single" w:sz="4" w:space="0" w:color="auto"/>
              <w:right w:val="single" w:sz="4" w:space="0" w:color="auto"/>
            </w:tcBorders>
            <w:shd w:val="clear" w:color="auto" w:fill="auto"/>
            <w:vAlign w:val="center"/>
            <w:hideMark/>
          </w:tcPr>
          <w:p w14:paraId="0E5E70BF"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3F75A015"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5833CA"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71C785B3"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Inventario de bienes muebles.</w:t>
            </w:r>
          </w:p>
        </w:tc>
        <w:tc>
          <w:tcPr>
            <w:tcW w:w="1197" w:type="dxa"/>
            <w:tcBorders>
              <w:top w:val="nil"/>
              <w:left w:val="nil"/>
              <w:bottom w:val="single" w:sz="4" w:space="0" w:color="auto"/>
              <w:right w:val="single" w:sz="4" w:space="0" w:color="auto"/>
            </w:tcBorders>
            <w:shd w:val="clear" w:color="auto" w:fill="auto"/>
            <w:vAlign w:val="center"/>
            <w:hideMark/>
          </w:tcPr>
          <w:p w14:paraId="0E612282"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1DCFD0C8"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8B0AB7"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XXXVII</w:t>
            </w:r>
          </w:p>
        </w:tc>
        <w:tc>
          <w:tcPr>
            <w:tcW w:w="0" w:type="auto"/>
            <w:tcBorders>
              <w:top w:val="nil"/>
              <w:left w:val="nil"/>
              <w:bottom w:val="single" w:sz="4" w:space="0" w:color="auto"/>
              <w:right w:val="single" w:sz="4" w:space="0" w:color="auto"/>
            </w:tcBorders>
            <w:shd w:val="clear" w:color="auto" w:fill="auto"/>
            <w:vAlign w:val="center"/>
            <w:hideMark/>
          </w:tcPr>
          <w:p w14:paraId="5726D416" w14:textId="4D0986C4"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al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la CDHCDMX.</w:t>
            </w:r>
          </w:p>
        </w:tc>
        <w:tc>
          <w:tcPr>
            <w:tcW w:w="1197" w:type="dxa"/>
            <w:tcBorders>
              <w:top w:val="nil"/>
              <w:left w:val="nil"/>
              <w:bottom w:val="single" w:sz="4" w:space="0" w:color="auto"/>
              <w:right w:val="single" w:sz="4" w:space="0" w:color="auto"/>
            </w:tcBorders>
            <w:shd w:val="clear" w:color="auto" w:fill="auto"/>
            <w:vAlign w:val="center"/>
            <w:hideMark/>
          </w:tcPr>
          <w:p w14:paraId="07A34662"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100</w:t>
            </w:r>
          </w:p>
        </w:tc>
      </w:tr>
      <w:tr w:rsidR="0020458B" w:rsidRPr="00B92499" w14:paraId="0619AE8E"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893E74"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542DD203" w14:textId="3AB3D4A5"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Informes que debe de 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p>
        </w:tc>
        <w:tc>
          <w:tcPr>
            <w:tcW w:w="1197" w:type="dxa"/>
            <w:tcBorders>
              <w:top w:val="nil"/>
              <w:left w:val="nil"/>
              <w:bottom w:val="single" w:sz="4" w:space="0" w:color="auto"/>
              <w:right w:val="single" w:sz="4" w:space="0" w:color="auto"/>
            </w:tcBorders>
            <w:shd w:val="clear" w:color="auto" w:fill="auto"/>
            <w:vAlign w:val="center"/>
            <w:hideMark/>
          </w:tcPr>
          <w:p w14:paraId="7CDEB02D" w14:textId="0D459223" w:rsidR="0020458B" w:rsidRPr="00B92499" w:rsidRDefault="0020458B" w:rsidP="003B202F">
            <w:pPr>
              <w:jc w:val="center"/>
              <w:rPr>
                <w:rFonts w:ascii="Arial" w:hAnsi="Arial" w:cs="Arial"/>
                <w:color w:val="000000"/>
                <w:sz w:val="20"/>
                <w:szCs w:val="20"/>
              </w:rPr>
            </w:pPr>
            <w:r w:rsidRPr="00B92499">
              <w:rPr>
                <w:rFonts w:ascii="Arial" w:hAnsi="Arial" w:cs="Arial"/>
                <w:color w:val="000000"/>
                <w:sz w:val="20"/>
                <w:szCs w:val="20"/>
              </w:rPr>
              <w:t>98.4</w:t>
            </w:r>
            <w:r w:rsidR="003B202F" w:rsidRPr="00B92499">
              <w:rPr>
                <w:rFonts w:ascii="Arial" w:hAnsi="Arial" w:cs="Arial"/>
                <w:color w:val="000000"/>
                <w:sz w:val="20"/>
                <w:szCs w:val="20"/>
              </w:rPr>
              <w:t>4</w:t>
            </w:r>
          </w:p>
        </w:tc>
      </w:tr>
      <w:tr w:rsidR="0020458B" w:rsidRPr="00B92499" w14:paraId="43F2DB04"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4A28F9"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XXXIX</w:t>
            </w:r>
          </w:p>
        </w:tc>
        <w:tc>
          <w:tcPr>
            <w:tcW w:w="0" w:type="auto"/>
            <w:tcBorders>
              <w:top w:val="nil"/>
              <w:left w:val="nil"/>
              <w:bottom w:val="single" w:sz="4" w:space="0" w:color="auto"/>
              <w:right w:val="single" w:sz="4" w:space="0" w:color="auto"/>
            </w:tcBorders>
            <w:shd w:val="clear" w:color="auto" w:fill="auto"/>
            <w:vAlign w:val="center"/>
            <w:hideMark/>
          </w:tcPr>
          <w:p w14:paraId="12129274"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Resoluciones y laudos que se emitan en procesos seguidos en forma de juicio.</w:t>
            </w:r>
          </w:p>
        </w:tc>
        <w:tc>
          <w:tcPr>
            <w:tcW w:w="1197" w:type="dxa"/>
            <w:tcBorders>
              <w:top w:val="nil"/>
              <w:left w:val="nil"/>
              <w:bottom w:val="single" w:sz="4" w:space="0" w:color="auto"/>
              <w:right w:val="single" w:sz="4" w:space="0" w:color="auto"/>
            </w:tcBorders>
            <w:shd w:val="clear" w:color="auto" w:fill="auto"/>
            <w:vAlign w:val="center"/>
            <w:hideMark/>
          </w:tcPr>
          <w:p w14:paraId="6D89363E" w14:textId="77777777"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93.75</w:t>
            </w:r>
          </w:p>
        </w:tc>
      </w:tr>
      <w:tr w:rsidR="0020458B" w:rsidRPr="00B92499" w14:paraId="7C8D3018"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C8F0E8"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XXXIII</w:t>
            </w:r>
          </w:p>
        </w:tc>
        <w:tc>
          <w:tcPr>
            <w:tcW w:w="0" w:type="auto"/>
            <w:tcBorders>
              <w:top w:val="nil"/>
              <w:left w:val="nil"/>
              <w:bottom w:val="single" w:sz="4" w:space="0" w:color="auto"/>
              <w:right w:val="single" w:sz="4" w:space="0" w:color="auto"/>
            </w:tcBorders>
            <w:shd w:val="clear" w:color="auto" w:fill="auto"/>
            <w:vAlign w:val="center"/>
            <w:hideMark/>
          </w:tcPr>
          <w:p w14:paraId="75CEE6EB"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 xml:space="preserve">Informe de avances programáticos o presupuestales. </w:t>
            </w:r>
          </w:p>
        </w:tc>
        <w:tc>
          <w:tcPr>
            <w:tcW w:w="1197" w:type="dxa"/>
            <w:tcBorders>
              <w:top w:val="nil"/>
              <w:left w:val="nil"/>
              <w:bottom w:val="single" w:sz="4" w:space="0" w:color="auto"/>
              <w:right w:val="single" w:sz="4" w:space="0" w:color="auto"/>
            </w:tcBorders>
            <w:shd w:val="clear" w:color="auto" w:fill="auto"/>
            <w:vAlign w:val="center"/>
            <w:hideMark/>
          </w:tcPr>
          <w:p w14:paraId="1D7DC221" w14:textId="41040A21" w:rsidR="0020458B" w:rsidRPr="00B92499" w:rsidRDefault="0020458B" w:rsidP="003B202F">
            <w:pPr>
              <w:jc w:val="center"/>
              <w:rPr>
                <w:rFonts w:ascii="Arial" w:hAnsi="Arial" w:cs="Arial"/>
                <w:color w:val="000000"/>
                <w:sz w:val="20"/>
                <w:szCs w:val="20"/>
              </w:rPr>
            </w:pPr>
            <w:r w:rsidRPr="00B92499">
              <w:rPr>
                <w:rFonts w:ascii="Arial" w:hAnsi="Arial" w:cs="Arial"/>
                <w:color w:val="000000"/>
                <w:sz w:val="20"/>
                <w:szCs w:val="20"/>
              </w:rPr>
              <w:t>89.77</w:t>
            </w:r>
          </w:p>
        </w:tc>
      </w:tr>
      <w:tr w:rsidR="0020458B" w:rsidRPr="00B92499" w14:paraId="290EA3C5"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7B0D31"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3EB5F009"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Marco Normativo.</w:t>
            </w:r>
          </w:p>
        </w:tc>
        <w:tc>
          <w:tcPr>
            <w:tcW w:w="1197" w:type="dxa"/>
            <w:tcBorders>
              <w:top w:val="nil"/>
              <w:left w:val="nil"/>
              <w:bottom w:val="single" w:sz="4" w:space="0" w:color="auto"/>
              <w:right w:val="single" w:sz="4" w:space="0" w:color="auto"/>
            </w:tcBorders>
            <w:shd w:val="clear" w:color="auto" w:fill="auto"/>
            <w:vAlign w:val="center"/>
            <w:hideMark/>
          </w:tcPr>
          <w:p w14:paraId="64C65DF0" w14:textId="53055D6B" w:rsidR="0020458B" w:rsidRPr="00B92499" w:rsidRDefault="0020458B" w:rsidP="003B202F">
            <w:pPr>
              <w:jc w:val="center"/>
              <w:rPr>
                <w:rFonts w:ascii="Arial" w:hAnsi="Arial" w:cs="Arial"/>
                <w:color w:val="000000"/>
                <w:sz w:val="20"/>
                <w:szCs w:val="20"/>
              </w:rPr>
            </w:pPr>
            <w:r w:rsidRPr="00B92499">
              <w:rPr>
                <w:rFonts w:ascii="Arial" w:hAnsi="Arial" w:cs="Arial"/>
                <w:color w:val="000000"/>
                <w:sz w:val="20"/>
                <w:szCs w:val="20"/>
              </w:rPr>
              <w:t>77.08</w:t>
            </w:r>
          </w:p>
        </w:tc>
      </w:tr>
      <w:tr w:rsidR="0020458B" w:rsidRPr="00B92499" w14:paraId="4F463D62"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AD7F67"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67FD6D27"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1197" w:type="dxa"/>
            <w:tcBorders>
              <w:top w:val="nil"/>
              <w:left w:val="nil"/>
              <w:bottom w:val="single" w:sz="4" w:space="0" w:color="auto"/>
              <w:right w:val="single" w:sz="4" w:space="0" w:color="auto"/>
            </w:tcBorders>
            <w:shd w:val="clear" w:color="auto" w:fill="auto"/>
            <w:vAlign w:val="center"/>
            <w:hideMark/>
          </w:tcPr>
          <w:p w14:paraId="0051701A" w14:textId="461CB646" w:rsidR="0020458B" w:rsidRPr="00B92499" w:rsidRDefault="0020458B" w:rsidP="003B202F">
            <w:pPr>
              <w:jc w:val="center"/>
              <w:rPr>
                <w:rFonts w:ascii="Arial" w:hAnsi="Arial" w:cs="Arial"/>
                <w:color w:val="000000"/>
                <w:sz w:val="20"/>
                <w:szCs w:val="20"/>
              </w:rPr>
            </w:pPr>
            <w:r w:rsidRPr="00B92499">
              <w:rPr>
                <w:rFonts w:ascii="Arial" w:hAnsi="Arial" w:cs="Arial"/>
                <w:color w:val="000000"/>
                <w:sz w:val="20"/>
                <w:szCs w:val="20"/>
              </w:rPr>
              <w:t>64.6</w:t>
            </w:r>
            <w:r w:rsidR="003B202F" w:rsidRPr="00B92499">
              <w:rPr>
                <w:rFonts w:ascii="Arial" w:hAnsi="Arial" w:cs="Arial"/>
                <w:color w:val="000000"/>
                <w:sz w:val="20"/>
                <w:szCs w:val="20"/>
              </w:rPr>
              <w:t>6</w:t>
            </w:r>
          </w:p>
        </w:tc>
      </w:tr>
      <w:tr w:rsidR="0020458B" w:rsidRPr="00B92499" w14:paraId="0B9AA78E" w14:textId="77777777" w:rsidTr="0020458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DAB53" w14:textId="77777777" w:rsidR="0020458B" w:rsidRPr="00B92499" w:rsidRDefault="0020458B">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25926566" w14:textId="77777777" w:rsidR="0020458B" w:rsidRPr="00B92499" w:rsidRDefault="0020458B" w:rsidP="003C6FE5">
            <w:pPr>
              <w:jc w:val="both"/>
              <w:rPr>
                <w:rFonts w:ascii="Arial" w:hAnsi="Arial" w:cs="Arial"/>
                <w:color w:val="000000"/>
                <w:sz w:val="20"/>
                <w:szCs w:val="20"/>
              </w:rPr>
            </w:pPr>
            <w:r w:rsidRPr="00B92499">
              <w:rPr>
                <w:rFonts w:ascii="Arial" w:hAnsi="Arial" w:cs="Arial"/>
                <w:color w:val="000000"/>
                <w:sz w:val="20"/>
                <w:szCs w:val="20"/>
              </w:rPr>
              <w:t>Indicadores que permitan rendir cuentas.</w:t>
            </w:r>
          </w:p>
        </w:tc>
        <w:tc>
          <w:tcPr>
            <w:tcW w:w="1197" w:type="dxa"/>
            <w:tcBorders>
              <w:top w:val="nil"/>
              <w:left w:val="nil"/>
              <w:bottom w:val="single" w:sz="4" w:space="0" w:color="auto"/>
              <w:right w:val="single" w:sz="4" w:space="0" w:color="auto"/>
            </w:tcBorders>
            <w:shd w:val="clear" w:color="auto" w:fill="auto"/>
            <w:vAlign w:val="center"/>
            <w:hideMark/>
          </w:tcPr>
          <w:p w14:paraId="7C48B026" w14:textId="56896455" w:rsidR="0020458B" w:rsidRPr="00B92499" w:rsidRDefault="0020458B" w:rsidP="0020458B">
            <w:pPr>
              <w:jc w:val="center"/>
              <w:rPr>
                <w:rFonts w:ascii="Arial" w:hAnsi="Arial" w:cs="Arial"/>
                <w:color w:val="000000"/>
                <w:sz w:val="20"/>
                <w:szCs w:val="20"/>
              </w:rPr>
            </w:pPr>
            <w:r w:rsidRPr="00B92499">
              <w:rPr>
                <w:rFonts w:ascii="Arial" w:hAnsi="Arial" w:cs="Arial"/>
                <w:color w:val="000000"/>
                <w:sz w:val="20"/>
                <w:szCs w:val="20"/>
              </w:rPr>
              <w:t>50</w:t>
            </w:r>
            <w:r w:rsidR="003B202F" w:rsidRPr="00B92499">
              <w:rPr>
                <w:rFonts w:ascii="Arial" w:hAnsi="Arial" w:cs="Arial"/>
                <w:color w:val="000000"/>
                <w:sz w:val="20"/>
                <w:szCs w:val="20"/>
              </w:rPr>
              <w:t>.00</w:t>
            </w:r>
          </w:p>
        </w:tc>
      </w:tr>
    </w:tbl>
    <w:p w14:paraId="0B646D15"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26B963B8" w14:textId="24BE66AC" w:rsidR="000B0B2E" w:rsidRPr="00B92499" w:rsidRDefault="000B0B2E" w:rsidP="009F64B5">
      <w:pPr>
        <w:pStyle w:val="Ttulo2"/>
        <w:numPr>
          <w:ilvl w:val="1"/>
          <w:numId w:val="18"/>
        </w:numPr>
        <w:contextualSpacing/>
        <w:jc w:val="both"/>
        <w:rPr>
          <w:rFonts w:ascii="Arial" w:hAnsi="Arial" w:cs="Arial"/>
          <w:b/>
          <w:color w:val="auto"/>
          <w:sz w:val="24"/>
          <w:szCs w:val="24"/>
        </w:rPr>
      </w:pPr>
      <w:bookmarkStart w:id="48" w:name="_Toc23253004"/>
      <w:r w:rsidRPr="00B92499">
        <w:rPr>
          <w:rFonts w:ascii="Arial" w:hAnsi="Arial" w:cs="Arial"/>
          <w:b/>
          <w:color w:val="auto"/>
          <w:sz w:val="24"/>
          <w:szCs w:val="24"/>
        </w:rPr>
        <w:lastRenderedPageBreak/>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w:t>
      </w:r>
      <w:r w:rsidR="0020458B" w:rsidRPr="00B92499">
        <w:rPr>
          <w:rFonts w:ascii="Arial" w:hAnsi="Arial" w:cs="Arial"/>
          <w:b/>
          <w:color w:val="auto"/>
          <w:sz w:val="24"/>
          <w:szCs w:val="24"/>
        </w:rPr>
        <w:t>33</w:t>
      </w:r>
      <w:r w:rsidRPr="00B92499">
        <w:rPr>
          <w:rFonts w:ascii="Arial" w:hAnsi="Arial" w:cs="Arial"/>
          <w:b/>
          <w:color w:val="auto"/>
          <w:sz w:val="24"/>
          <w:szCs w:val="24"/>
        </w:rPr>
        <w:t xml:space="preserve"> y sus respectivas fracciones</w:t>
      </w:r>
      <w:bookmarkEnd w:id="48"/>
    </w:p>
    <w:p w14:paraId="31336050" w14:textId="641B9BDA"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741711" w:rsidRPr="00B92499">
        <w:rPr>
          <w:rFonts w:ascii="Arial" w:hAnsi="Arial" w:cs="Arial"/>
        </w:rPr>
        <w:t>Instituto</w:t>
      </w:r>
      <w:r w:rsidRPr="00B92499">
        <w:rPr>
          <w:rFonts w:ascii="Arial" w:hAnsi="Arial" w:cs="Arial"/>
        </w:rPr>
        <w:t xml:space="preserve"> obtuvo un ICP en este artículo de </w:t>
      </w:r>
      <w:r w:rsidR="0020458B" w:rsidRPr="00B92499">
        <w:rPr>
          <w:rFonts w:ascii="Arial" w:hAnsi="Arial" w:cs="Arial"/>
        </w:rPr>
        <w:t>91.72</w:t>
      </w:r>
      <w:r w:rsidRPr="00B92499">
        <w:rPr>
          <w:rFonts w:ascii="Arial" w:hAnsi="Arial" w:cs="Arial"/>
        </w:rPr>
        <w:t xml:space="preserve">%, por lo que se encuentra dentro del área de cumplimiento parcial. Lo anterior se debió a que de las </w:t>
      </w:r>
      <w:r w:rsidR="003C6FE5" w:rsidRPr="00B92499">
        <w:rPr>
          <w:rFonts w:ascii="Arial" w:hAnsi="Arial" w:cs="Arial"/>
        </w:rPr>
        <w:t>13</w:t>
      </w:r>
      <w:r w:rsidRPr="00B92499">
        <w:rPr>
          <w:rFonts w:ascii="Arial" w:hAnsi="Arial" w:cs="Arial"/>
        </w:rPr>
        <w:t xml:space="preserve"> fracciones que les son aplicables, en </w:t>
      </w:r>
      <w:r w:rsidR="000D67A7" w:rsidRPr="00B92499">
        <w:rPr>
          <w:rFonts w:ascii="Arial" w:hAnsi="Arial" w:cs="Arial"/>
        </w:rPr>
        <w:t xml:space="preserve"> 9 </w:t>
      </w:r>
      <w:r w:rsidRPr="00B92499">
        <w:rPr>
          <w:rFonts w:ascii="Arial" w:hAnsi="Arial" w:cs="Arial"/>
        </w:rPr>
        <w:t xml:space="preserve"> alcanzó un cumplimiento total de 100%</w:t>
      </w:r>
      <w:r w:rsidR="003C6FE5" w:rsidRPr="00B92499">
        <w:rPr>
          <w:rFonts w:ascii="Arial" w:hAnsi="Arial" w:cs="Arial"/>
        </w:rPr>
        <w:t xml:space="preserve"> y </w:t>
      </w:r>
      <w:r w:rsidRPr="00B92499">
        <w:rPr>
          <w:rFonts w:ascii="Arial" w:hAnsi="Arial" w:cs="Arial"/>
        </w:rPr>
        <w:t xml:space="preserve">en </w:t>
      </w:r>
      <w:r w:rsidR="003C6FE5" w:rsidRPr="00B92499">
        <w:rPr>
          <w:rFonts w:ascii="Arial" w:hAnsi="Arial" w:cs="Arial"/>
        </w:rPr>
        <w:t>4</w:t>
      </w:r>
      <w:r w:rsidRPr="00B92499">
        <w:rPr>
          <w:rFonts w:ascii="Arial" w:hAnsi="Arial" w:cs="Arial"/>
        </w:rPr>
        <w:t xml:space="preserve"> fracciones un cumplimiento parcial entre </w:t>
      </w:r>
      <w:r w:rsidR="003C6FE5" w:rsidRPr="00B92499">
        <w:rPr>
          <w:rFonts w:ascii="Arial" w:hAnsi="Arial" w:cs="Arial"/>
        </w:rPr>
        <w:t>66.66</w:t>
      </w:r>
      <w:r w:rsidRPr="00B92499">
        <w:rPr>
          <w:rFonts w:ascii="Arial" w:hAnsi="Arial" w:cs="Arial"/>
        </w:rPr>
        <w:t>% y 9</w:t>
      </w:r>
      <w:r w:rsidR="003C6FE5" w:rsidRPr="00B92499">
        <w:rPr>
          <w:rFonts w:ascii="Arial" w:hAnsi="Arial" w:cs="Arial"/>
        </w:rPr>
        <w:t>3.75</w:t>
      </w:r>
      <w:r w:rsidRPr="00B92499">
        <w:rPr>
          <w:rFonts w:ascii="Arial" w:hAnsi="Arial" w:cs="Arial"/>
        </w:rPr>
        <w:t xml:space="preserve">%. </w:t>
      </w:r>
    </w:p>
    <w:p w14:paraId="1B02A811" w14:textId="77777777" w:rsidR="000B0B2E" w:rsidRPr="00B92499" w:rsidRDefault="000B0B2E" w:rsidP="000B0B2E">
      <w:pPr>
        <w:spacing w:before="100" w:beforeAutospacing="1" w:after="100" w:afterAutospacing="1" w:line="360" w:lineRule="auto"/>
        <w:contextualSpacing/>
        <w:jc w:val="both"/>
        <w:rPr>
          <w:rFonts w:ascii="Arial" w:hAnsi="Arial" w:cs="Arial"/>
        </w:rPr>
      </w:pPr>
    </w:p>
    <w:p w14:paraId="4FF66732" w14:textId="315025C8" w:rsidR="000B0B2E" w:rsidRPr="00B92499" w:rsidRDefault="000B0B2E" w:rsidP="000B0B2E">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de las </w:t>
      </w:r>
      <w:r w:rsidR="003C6FE5" w:rsidRPr="00B92499">
        <w:rPr>
          <w:rFonts w:ascii="Arial" w:hAnsi="Arial" w:cs="Arial"/>
        </w:rPr>
        <w:t>13</w:t>
      </w:r>
      <w:r w:rsidRPr="00B92499">
        <w:rPr>
          <w:rFonts w:ascii="Arial" w:hAnsi="Arial" w:cs="Arial"/>
        </w:rPr>
        <w:t xml:space="preserve"> fracciones que le son aplicables; las</w:t>
      </w:r>
      <w:r w:rsidR="000D67A7" w:rsidRPr="00B92499">
        <w:rPr>
          <w:rFonts w:ascii="Arial" w:hAnsi="Arial" w:cs="Arial"/>
        </w:rPr>
        <w:t xml:space="preserve"> 4 </w:t>
      </w:r>
      <w:r w:rsidRPr="00B92499">
        <w:rPr>
          <w:rFonts w:ascii="Arial" w:hAnsi="Arial" w:cs="Arial"/>
        </w:rPr>
        <w:t xml:space="preserve">que presentan mayores áreas de oportunidad son las siguientes: </w:t>
      </w:r>
    </w:p>
    <w:p w14:paraId="3AE1CCE5" w14:textId="11E2D619" w:rsidR="000B0B2E" w:rsidRPr="00B92499" w:rsidRDefault="000B0B2E" w:rsidP="009F64B5">
      <w:pPr>
        <w:pStyle w:val="Prrafodelista"/>
        <w:numPr>
          <w:ilvl w:val="0"/>
          <w:numId w:val="25"/>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3C6FE5" w:rsidRPr="00B92499">
        <w:rPr>
          <w:rFonts w:ascii="Arial" w:hAnsi="Arial" w:cs="Arial"/>
          <w:sz w:val="24"/>
          <w:szCs w:val="24"/>
          <w:lang w:val="es-ES_tradnl"/>
        </w:rPr>
        <w:t>VII</w:t>
      </w:r>
      <w:r w:rsidRPr="00B92499">
        <w:rPr>
          <w:rFonts w:ascii="Arial" w:hAnsi="Arial" w:cs="Arial"/>
          <w:sz w:val="24"/>
          <w:szCs w:val="24"/>
          <w:lang w:val="es-ES_tradnl"/>
        </w:rPr>
        <w:t xml:space="preserve">, con un ICP de </w:t>
      </w:r>
      <w:r w:rsidR="003C6FE5" w:rsidRPr="00B92499">
        <w:rPr>
          <w:rFonts w:ascii="Arial" w:hAnsi="Arial" w:cs="Arial"/>
          <w:sz w:val="24"/>
          <w:szCs w:val="24"/>
          <w:lang w:val="es-ES_tradnl"/>
        </w:rPr>
        <w:t>66.66</w:t>
      </w:r>
      <w:r w:rsidRPr="00B92499">
        <w:rPr>
          <w:rFonts w:ascii="Arial" w:hAnsi="Arial" w:cs="Arial"/>
          <w:sz w:val="24"/>
          <w:szCs w:val="24"/>
          <w:lang w:val="es-ES_tradnl"/>
        </w:rPr>
        <w:t xml:space="preserve">% que hace referencia a la publicación </w:t>
      </w:r>
      <w:r w:rsidR="003C6FE5" w:rsidRPr="00B92499">
        <w:rPr>
          <w:rFonts w:ascii="Arial" w:hAnsi="Arial" w:cs="Arial"/>
          <w:sz w:val="24"/>
          <w:szCs w:val="24"/>
          <w:lang w:val="es-ES_tradnl"/>
        </w:rPr>
        <w:t>de las actas, las versiones estenográficas, la liga de grabaciones y la liga de internet donde se pueden ver en directo las sesiones celebradas del pleno</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e</w:t>
      </w:r>
      <w:r w:rsidR="00814637" w:rsidRPr="00B92499">
        <w:rPr>
          <w:rFonts w:ascii="Arial" w:hAnsi="Arial" w:cs="Arial"/>
          <w:sz w:val="24"/>
          <w:szCs w:val="24"/>
          <w:lang w:val="es-ES_tradnl"/>
        </w:rPr>
        <w:t>n publicar y actualizar la información correspondiente al primer y segundo trimestre del año 2019.</w:t>
      </w:r>
    </w:p>
    <w:p w14:paraId="037E3DF8" w14:textId="0F2DE378" w:rsidR="000B0B2E" w:rsidRPr="00B92499" w:rsidRDefault="000B0B2E" w:rsidP="009F64B5">
      <w:pPr>
        <w:pStyle w:val="Prrafodelista"/>
        <w:numPr>
          <w:ilvl w:val="0"/>
          <w:numId w:val="25"/>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I, con un ICP de </w:t>
      </w:r>
      <w:r w:rsidR="003C6FE5" w:rsidRPr="00B92499">
        <w:rPr>
          <w:rFonts w:ascii="Arial" w:hAnsi="Arial" w:cs="Arial"/>
          <w:sz w:val="24"/>
          <w:szCs w:val="24"/>
          <w:lang w:val="es-ES_tradnl"/>
        </w:rPr>
        <w:t>75</w:t>
      </w:r>
      <w:r w:rsidRPr="00B92499">
        <w:rPr>
          <w:rFonts w:ascii="Arial" w:hAnsi="Arial" w:cs="Arial"/>
          <w:sz w:val="24"/>
          <w:szCs w:val="24"/>
          <w:lang w:val="es-ES_tradnl"/>
        </w:rPr>
        <w:t xml:space="preserve">%, que establece la publicación de </w:t>
      </w:r>
      <w:r w:rsidR="003C6FE5" w:rsidRPr="00B92499">
        <w:rPr>
          <w:rFonts w:ascii="Arial" w:hAnsi="Arial" w:cs="Arial"/>
          <w:sz w:val="24"/>
          <w:szCs w:val="24"/>
          <w:lang w:val="es-ES_tradnl"/>
        </w:rPr>
        <w:t>la relación de observaciones y resoluciones emitidas y el seguimiento a cada una de ellas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w:t>
      </w:r>
      <w:r w:rsidR="00814637" w:rsidRPr="00B92499">
        <w:rPr>
          <w:rFonts w:ascii="Arial" w:hAnsi="Arial" w:cs="Arial"/>
          <w:sz w:val="24"/>
          <w:szCs w:val="24"/>
          <w:lang w:val="es-ES_tradnl"/>
        </w:rPr>
        <w:t>en publicar y actualizar la información correspondiente al primer y segundo trimestre del año 2019.</w:t>
      </w:r>
    </w:p>
    <w:p w14:paraId="1D1BFF3B" w14:textId="2B2C5974" w:rsidR="000B0B2E" w:rsidRPr="00B92499" w:rsidRDefault="000B0B2E" w:rsidP="009F64B5">
      <w:pPr>
        <w:pStyle w:val="Prrafodelista"/>
        <w:numPr>
          <w:ilvl w:val="0"/>
          <w:numId w:val="25"/>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3C6FE5" w:rsidRPr="00B92499">
        <w:rPr>
          <w:rFonts w:ascii="Arial" w:hAnsi="Arial" w:cs="Arial"/>
          <w:sz w:val="24"/>
          <w:szCs w:val="24"/>
          <w:lang w:val="es-ES_tradnl"/>
        </w:rPr>
        <w:t>II</w:t>
      </w:r>
      <w:r w:rsidRPr="00B92499">
        <w:rPr>
          <w:rFonts w:ascii="Arial" w:hAnsi="Arial" w:cs="Arial"/>
          <w:sz w:val="24"/>
          <w:szCs w:val="24"/>
          <w:lang w:val="es-ES_tradnl"/>
        </w:rPr>
        <w:t xml:space="preserve">, con un ICP de </w:t>
      </w:r>
      <w:r w:rsidR="003C6FE5" w:rsidRPr="00B92499">
        <w:rPr>
          <w:rFonts w:ascii="Arial" w:hAnsi="Arial" w:cs="Arial"/>
          <w:sz w:val="24"/>
          <w:szCs w:val="24"/>
          <w:lang w:val="es-ES_tradnl"/>
        </w:rPr>
        <w:t>87.5</w:t>
      </w:r>
      <w:r w:rsidRPr="00B92499">
        <w:rPr>
          <w:rFonts w:ascii="Arial" w:hAnsi="Arial" w:cs="Arial"/>
          <w:sz w:val="24"/>
          <w:szCs w:val="24"/>
          <w:lang w:val="es-ES_tradnl"/>
        </w:rPr>
        <w:t xml:space="preserve">%, que establece la publicación </w:t>
      </w:r>
      <w:r w:rsidR="003C6FE5" w:rsidRPr="00B92499">
        <w:rPr>
          <w:rFonts w:ascii="Arial" w:hAnsi="Arial" w:cs="Arial"/>
          <w:sz w:val="24"/>
          <w:szCs w:val="24"/>
          <w:lang w:val="es-ES_tradnl"/>
        </w:rPr>
        <w:t>de los criterios orientadores que deriven de sus resoluciones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w:t>
      </w:r>
      <w:r w:rsidR="00814637" w:rsidRPr="00B92499">
        <w:rPr>
          <w:rFonts w:ascii="Arial" w:hAnsi="Arial" w:cs="Arial"/>
          <w:sz w:val="24"/>
          <w:szCs w:val="24"/>
          <w:lang w:val="es-ES_tradnl"/>
        </w:rPr>
        <w:t>en publicar y actualizar la información correspondiente al primer y segundo trimestre del año 2019.</w:t>
      </w:r>
    </w:p>
    <w:p w14:paraId="561B2D62" w14:textId="7C823E56" w:rsidR="000B0B2E" w:rsidRPr="00B92499" w:rsidRDefault="000B0B2E" w:rsidP="009F64B5">
      <w:pPr>
        <w:pStyle w:val="Prrafodelista"/>
        <w:numPr>
          <w:ilvl w:val="0"/>
          <w:numId w:val="25"/>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Fracción X</w:t>
      </w:r>
      <w:r w:rsidR="003C6FE5" w:rsidRPr="00B92499">
        <w:rPr>
          <w:rFonts w:ascii="Arial" w:hAnsi="Arial" w:cs="Arial"/>
          <w:sz w:val="24"/>
          <w:szCs w:val="24"/>
          <w:lang w:val="es-ES_tradnl"/>
        </w:rPr>
        <w:t>I</w:t>
      </w:r>
      <w:r w:rsidRPr="00B92499">
        <w:rPr>
          <w:rFonts w:ascii="Arial" w:hAnsi="Arial" w:cs="Arial"/>
          <w:sz w:val="24"/>
          <w:szCs w:val="24"/>
          <w:lang w:val="es-ES_tradnl"/>
        </w:rPr>
        <w:t xml:space="preserve">, con un ICP de </w:t>
      </w:r>
      <w:r w:rsidR="003C6FE5" w:rsidRPr="00B92499">
        <w:rPr>
          <w:rFonts w:ascii="Arial" w:hAnsi="Arial" w:cs="Arial"/>
          <w:sz w:val="24"/>
          <w:szCs w:val="24"/>
          <w:lang w:val="es-ES_tradnl"/>
        </w:rPr>
        <w:t>93.75</w:t>
      </w:r>
      <w:r w:rsidRPr="00B92499">
        <w:rPr>
          <w:rFonts w:ascii="Arial" w:hAnsi="Arial" w:cs="Arial"/>
          <w:sz w:val="24"/>
          <w:szCs w:val="24"/>
          <w:lang w:val="es-ES_tradnl"/>
        </w:rPr>
        <w:t xml:space="preserve">%, que establece la publicación de </w:t>
      </w:r>
      <w:r w:rsidR="003C6FE5" w:rsidRPr="00B92499">
        <w:rPr>
          <w:rFonts w:ascii="Arial" w:hAnsi="Arial" w:cs="Arial"/>
          <w:sz w:val="24"/>
          <w:szCs w:val="24"/>
          <w:lang w:val="es-ES_tradnl"/>
        </w:rPr>
        <w:t xml:space="preserve">el número de quejas, denuncias y recursos de revisión dirigidos a cada uno de los </w:t>
      </w:r>
      <w:r w:rsidR="008710F6" w:rsidRPr="00B92499">
        <w:rPr>
          <w:rFonts w:ascii="Arial" w:hAnsi="Arial" w:cs="Arial"/>
          <w:sz w:val="24"/>
          <w:szCs w:val="24"/>
          <w:lang w:val="es-ES_tradnl"/>
        </w:rPr>
        <w:t>sujeto</w:t>
      </w:r>
      <w:r w:rsidR="003C6FE5" w:rsidRPr="00B92499">
        <w:rPr>
          <w:rFonts w:ascii="Arial" w:hAnsi="Arial" w:cs="Arial"/>
          <w:sz w:val="24"/>
          <w:szCs w:val="24"/>
          <w:lang w:val="es-ES_tradnl"/>
        </w:rPr>
        <w:t>s obligados</w:t>
      </w:r>
      <w:r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Pr="00B92499">
        <w:rPr>
          <w:rFonts w:ascii="Arial" w:hAnsi="Arial" w:cs="Arial"/>
          <w:sz w:val="24"/>
          <w:szCs w:val="24"/>
          <w:lang w:val="es-ES_tradnl"/>
        </w:rPr>
        <w:t xml:space="preserve"> consiste </w:t>
      </w:r>
      <w:r w:rsidR="00814637" w:rsidRPr="00B92499">
        <w:rPr>
          <w:rFonts w:ascii="Arial" w:hAnsi="Arial" w:cs="Arial"/>
          <w:sz w:val="24"/>
          <w:szCs w:val="24"/>
          <w:lang w:val="es-ES_tradnl"/>
        </w:rPr>
        <w:t>en publicar y actualizar la información correspondiente al primer y segundo trimestre del año 2019.</w:t>
      </w:r>
    </w:p>
    <w:p w14:paraId="6BA8F638" w14:textId="51DDF0C9" w:rsidR="000B0B2E" w:rsidRPr="00B92499" w:rsidRDefault="000B0B2E" w:rsidP="000B0B2E">
      <w:pPr>
        <w:spacing w:before="100" w:beforeAutospacing="1" w:after="100" w:afterAutospacing="1" w:line="360" w:lineRule="auto"/>
        <w:jc w:val="both"/>
        <w:rPr>
          <w:rFonts w:ascii="Arial" w:hAnsi="Arial" w:cs="Arial"/>
        </w:rPr>
      </w:pPr>
      <w:r w:rsidRPr="00B92499">
        <w:rPr>
          <w:rFonts w:ascii="Arial" w:hAnsi="Arial" w:cs="Arial"/>
        </w:rPr>
        <w:t xml:space="preserve">De igual forma, en </w:t>
      </w:r>
      <w:r w:rsidR="000D67A7" w:rsidRPr="00B92499">
        <w:rPr>
          <w:rFonts w:ascii="Arial" w:hAnsi="Arial" w:cs="Arial"/>
        </w:rPr>
        <w:t xml:space="preserve"> 9 </w:t>
      </w:r>
      <w:r w:rsidRPr="00B92499">
        <w:rPr>
          <w:rFonts w:ascii="Arial" w:hAnsi="Arial" w:cs="Arial"/>
        </w:rPr>
        <w:t xml:space="preserve"> fracciones del artículo 1</w:t>
      </w:r>
      <w:r w:rsidR="003C6FE5" w:rsidRPr="00B92499">
        <w:rPr>
          <w:rFonts w:ascii="Arial" w:hAnsi="Arial" w:cs="Arial"/>
        </w:rPr>
        <w:t>33</w:t>
      </w:r>
      <w:r w:rsidRPr="00B92499">
        <w:rPr>
          <w:rFonts w:ascii="Arial" w:hAnsi="Arial" w:cs="Arial"/>
        </w:rPr>
        <w:t xml:space="preserve"> alcanzó un ICP de 100%</w:t>
      </w:r>
      <w:r w:rsidR="00490622" w:rsidRPr="00B92499">
        <w:rPr>
          <w:rFonts w:ascii="Arial" w:hAnsi="Arial" w:cs="Arial"/>
        </w:rPr>
        <w:t>.</w:t>
      </w:r>
    </w:p>
    <w:p w14:paraId="4BFAB895" w14:textId="4A6B36DF" w:rsidR="000B0B2E" w:rsidRPr="00B92499" w:rsidRDefault="000B0B2E" w:rsidP="000B0B2E">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w:t>
      </w:r>
      <w:r w:rsidR="003C6FE5" w:rsidRPr="00B92499">
        <w:rPr>
          <w:rFonts w:ascii="Arial" w:hAnsi="Arial" w:cs="Arial"/>
        </w:rPr>
        <w:t>33</w:t>
      </w:r>
      <w:r w:rsidR="00490622" w:rsidRPr="00B92499">
        <w:rPr>
          <w:rFonts w:ascii="Arial" w:hAnsi="Arial" w:cs="Arial"/>
        </w:rPr>
        <w:t>,</w:t>
      </w:r>
      <w:r w:rsidRPr="00B92499">
        <w:rPr>
          <w:rFonts w:ascii="Arial" w:hAnsi="Arial" w:cs="Arial"/>
        </w:rPr>
        <w:t xml:space="preserve"> es presentada la siguiente tabla ordenada de forma descendente.</w:t>
      </w:r>
    </w:p>
    <w:tbl>
      <w:tblPr>
        <w:tblW w:w="8931" w:type="dxa"/>
        <w:tblCellMar>
          <w:left w:w="70" w:type="dxa"/>
          <w:right w:w="70" w:type="dxa"/>
        </w:tblCellMar>
        <w:tblLook w:val="04A0" w:firstRow="1" w:lastRow="0" w:firstColumn="1" w:lastColumn="0" w:noHBand="0" w:noVBand="1"/>
      </w:tblPr>
      <w:tblGrid>
        <w:gridCol w:w="974"/>
        <w:gridCol w:w="7036"/>
        <w:gridCol w:w="921"/>
      </w:tblGrid>
      <w:tr w:rsidR="000B0B2E" w:rsidRPr="00B92499" w14:paraId="373D6514" w14:textId="77777777" w:rsidTr="008710F6">
        <w:trPr>
          <w:trHeight w:val="20"/>
          <w:tblHeader/>
        </w:trPr>
        <w:tc>
          <w:tcPr>
            <w:tcW w:w="8931"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C87F7E1" w14:textId="719507C4"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lastRenderedPageBreak/>
              <w:t>Artículo 1</w:t>
            </w:r>
            <w:r w:rsidR="00741711" w:rsidRPr="00B92499">
              <w:rPr>
                <w:rFonts w:ascii="Arial" w:hAnsi="Arial" w:cs="Arial"/>
                <w:b/>
                <w:bCs/>
                <w:color w:val="000000"/>
                <w:sz w:val="20"/>
                <w:szCs w:val="20"/>
              </w:rPr>
              <w:t>33</w:t>
            </w:r>
            <w:r w:rsidRPr="00B92499">
              <w:rPr>
                <w:rFonts w:ascii="Arial" w:hAnsi="Arial" w:cs="Arial"/>
                <w:b/>
                <w:bCs/>
                <w:color w:val="000000"/>
                <w:sz w:val="20"/>
                <w:szCs w:val="20"/>
              </w:rPr>
              <w:t xml:space="preserve">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0B0B2E" w:rsidRPr="00B92499" w14:paraId="1DBB1998" w14:textId="77777777" w:rsidTr="003C6FE5">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495B914C"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58E1F310"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201" w:type="dxa"/>
            <w:tcBorders>
              <w:top w:val="nil"/>
              <w:left w:val="nil"/>
              <w:bottom w:val="single" w:sz="4" w:space="0" w:color="auto"/>
              <w:right w:val="single" w:sz="4" w:space="0" w:color="auto"/>
            </w:tcBorders>
            <w:shd w:val="clear" w:color="auto" w:fill="00B0F0"/>
            <w:vAlign w:val="center"/>
            <w:hideMark/>
          </w:tcPr>
          <w:p w14:paraId="6F36A093" w14:textId="77777777" w:rsidR="000B0B2E" w:rsidRPr="00B92499" w:rsidRDefault="000B0B2E" w:rsidP="008710F6">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3C6FE5" w:rsidRPr="00B92499" w14:paraId="66C1089A"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8F6421"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6F011A35" w14:textId="00ADDE25"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Estadísticas e indicadores sobre los medios de impugnación.</w:t>
            </w:r>
          </w:p>
        </w:tc>
        <w:tc>
          <w:tcPr>
            <w:tcW w:w="1201" w:type="dxa"/>
            <w:tcBorders>
              <w:top w:val="nil"/>
              <w:left w:val="nil"/>
              <w:bottom w:val="single" w:sz="4" w:space="0" w:color="auto"/>
              <w:right w:val="single" w:sz="4" w:space="0" w:color="auto"/>
            </w:tcBorders>
            <w:shd w:val="clear" w:color="auto" w:fill="auto"/>
            <w:vAlign w:val="center"/>
            <w:hideMark/>
          </w:tcPr>
          <w:p w14:paraId="18574364"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5D7BEFBB"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73DB68"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75B4E7FD" w14:textId="1648C4AD"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Los estudios que apoyan la resolución de los recursos de revisión.</w:t>
            </w:r>
          </w:p>
        </w:tc>
        <w:tc>
          <w:tcPr>
            <w:tcW w:w="1201" w:type="dxa"/>
            <w:tcBorders>
              <w:top w:val="nil"/>
              <w:left w:val="nil"/>
              <w:bottom w:val="single" w:sz="4" w:space="0" w:color="auto"/>
              <w:right w:val="single" w:sz="4" w:space="0" w:color="auto"/>
            </w:tcBorders>
            <w:shd w:val="clear" w:color="auto" w:fill="auto"/>
            <w:vAlign w:val="center"/>
            <w:hideMark/>
          </w:tcPr>
          <w:p w14:paraId="3834D27E"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03844700"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A8CF78"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452C1612" w14:textId="15987EE5"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En su caso, las sentencias, ejecutorias o suspensiones judiciales que existan en contra de sus resoluciones.</w:t>
            </w:r>
          </w:p>
        </w:tc>
        <w:tc>
          <w:tcPr>
            <w:tcW w:w="1201" w:type="dxa"/>
            <w:tcBorders>
              <w:top w:val="nil"/>
              <w:left w:val="nil"/>
              <w:bottom w:val="single" w:sz="4" w:space="0" w:color="auto"/>
              <w:right w:val="single" w:sz="4" w:space="0" w:color="auto"/>
            </w:tcBorders>
            <w:shd w:val="clear" w:color="auto" w:fill="auto"/>
            <w:vAlign w:val="center"/>
            <w:hideMark/>
          </w:tcPr>
          <w:p w14:paraId="47578489"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52CBEA1A"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A48C91"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37B147AE" w14:textId="184E7984"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Estadísticas sobre las solicitudes de información y de datos personales.</w:t>
            </w:r>
          </w:p>
        </w:tc>
        <w:tc>
          <w:tcPr>
            <w:tcW w:w="1201" w:type="dxa"/>
            <w:tcBorders>
              <w:top w:val="nil"/>
              <w:left w:val="nil"/>
              <w:bottom w:val="single" w:sz="4" w:space="0" w:color="auto"/>
              <w:right w:val="single" w:sz="4" w:space="0" w:color="auto"/>
            </w:tcBorders>
            <w:shd w:val="clear" w:color="auto" w:fill="auto"/>
            <w:vAlign w:val="center"/>
            <w:hideMark/>
          </w:tcPr>
          <w:p w14:paraId="2717B01C"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64FEF0B2"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E0CFAB"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128BC65D" w14:textId="760138CE"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 xml:space="preserve">Los resultados de la evaluación del cumplimiento de la Ley a los </w:t>
            </w:r>
            <w:r w:rsidR="008710F6" w:rsidRPr="00B92499">
              <w:rPr>
                <w:rFonts w:ascii="Arial" w:hAnsi="Arial" w:cs="Arial"/>
                <w:color w:val="000000"/>
                <w:sz w:val="20"/>
                <w:szCs w:val="20"/>
              </w:rPr>
              <w:t>sujeto</w:t>
            </w:r>
            <w:r w:rsidRPr="00B92499">
              <w:rPr>
                <w:rFonts w:ascii="Arial" w:hAnsi="Arial" w:cs="Arial"/>
                <w:color w:val="000000"/>
                <w:sz w:val="20"/>
                <w:szCs w:val="20"/>
              </w:rPr>
              <w:t>s obligados.</w:t>
            </w:r>
          </w:p>
        </w:tc>
        <w:tc>
          <w:tcPr>
            <w:tcW w:w="1201" w:type="dxa"/>
            <w:tcBorders>
              <w:top w:val="nil"/>
              <w:left w:val="nil"/>
              <w:bottom w:val="single" w:sz="4" w:space="0" w:color="auto"/>
              <w:right w:val="single" w:sz="4" w:space="0" w:color="auto"/>
            </w:tcBorders>
            <w:shd w:val="clear" w:color="auto" w:fill="auto"/>
            <w:vAlign w:val="center"/>
            <w:hideMark/>
          </w:tcPr>
          <w:p w14:paraId="17459F5A"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6913C684"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64D4ED"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6E495007" w14:textId="36A969C5"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Informes e indicadores sobre las acciones de promoción de la cultura de transparencia y rendición de cuentas.</w:t>
            </w:r>
          </w:p>
        </w:tc>
        <w:tc>
          <w:tcPr>
            <w:tcW w:w="1201" w:type="dxa"/>
            <w:tcBorders>
              <w:top w:val="nil"/>
              <w:left w:val="nil"/>
              <w:bottom w:val="single" w:sz="4" w:space="0" w:color="auto"/>
              <w:right w:val="single" w:sz="4" w:space="0" w:color="auto"/>
            </w:tcBorders>
            <w:shd w:val="clear" w:color="auto" w:fill="auto"/>
            <w:vAlign w:val="center"/>
            <w:hideMark/>
          </w:tcPr>
          <w:p w14:paraId="0D9004C6"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50820B23"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B3A4B3"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24C22C57" w14:textId="4FA50C24"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 xml:space="preserve">El número de vistas a los órganos internos de control de los </w:t>
            </w:r>
            <w:r w:rsidR="008710F6" w:rsidRPr="00B92499">
              <w:rPr>
                <w:rFonts w:ascii="Arial" w:hAnsi="Arial" w:cs="Arial"/>
                <w:color w:val="000000"/>
                <w:sz w:val="20"/>
                <w:szCs w:val="20"/>
              </w:rPr>
              <w:t>sujeto</w:t>
            </w:r>
            <w:r w:rsidRPr="00B92499">
              <w:rPr>
                <w:rFonts w:ascii="Arial" w:hAnsi="Arial" w:cs="Arial"/>
                <w:color w:val="000000"/>
                <w:sz w:val="20"/>
                <w:szCs w:val="20"/>
              </w:rPr>
              <w:t>s obligados, que hayan incumplido las obligaciones en transparencia.</w:t>
            </w:r>
          </w:p>
        </w:tc>
        <w:tc>
          <w:tcPr>
            <w:tcW w:w="1201" w:type="dxa"/>
            <w:tcBorders>
              <w:top w:val="nil"/>
              <w:left w:val="nil"/>
              <w:bottom w:val="single" w:sz="4" w:space="0" w:color="auto"/>
              <w:right w:val="single" w:sz="4" w:space="0" w:color="auto"/>
            </w:tcBorders>
            <w:shd w:val="clear" w:color="auto" w:fill="auto"/>
            <w:vAlign w:val="center"/>
            <w:hideMark/>
          </w:tcPr>
          <w:p w14:paraId="482BB9C1"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76A0139A"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F21861"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XII</w:t>
            </w:r>
          </w:p>
        </w:tc>
        <w:tc>
          <w:tcPr>
            <w:tcW w:w="0" w:type="auto"/>
            <w:tcBorders>
              <w:top w:val="nil"/>
              <w:left w:val="nil"/>
              <w:bottom w:val="single" w:sz="4" w:space="0" w:color="auto"/>
              <w:right w:val="single" w:sz="4" w:space="0" w:color="auto"/>
            </w:tcBorders>
            <w:shd w:val="clear" w:color="auto" w:fill="auto"/>
            <w:vAlign w:val="center"/>
            <w:hideMark/>
          </w:tcPr>
          <w:p w14:paraId="0D9E12D7" w14:textId="249D74C1"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Los amparos, las acciones de inconstitucionalidad y los recursos de inconformidad que existan en contra de sus resoluciones.</w:t>
            </w:r>
          </w:p>
        </w:tc>
        <w:tc>
          <w:tcPr>
            <w:tcW w:w="1201" w:type="dxa"/>
            <w:tcBorders>
              <w:top w:val="nil"/>
              <w:left w:val="nil"/>
              <w:bottom w:val="single" w:sz="4" w:space="0" w:color="auto"/>
              <w:right w:val="single" w:sz="4" w:space="0" w:color="auto"/>
            </w:tcBorders>
            <w:shd w:val="clear" w:color="auto" w:fill="auto"/>
            <w:vAlign w:val="center"/>
            <w:hideMark/>
          </w:tcPr>
          <w:p w14:paraId="04456E2B"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714D0FDC"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1CECAF"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XIII</w:t>
            </w:r>
          </w:p>
        </w:tc>
        <w:tc>
          <w:tcPr>
            <w:tcW w:w="0" w:type="auto"/>
            <w:tcBorders>
              <w:top w:val="nil"/>
              <w:left w:val="nil"/>
              <w:bottom w:val="single" w:sz="4" w:space="0" w:color="auto"/>
              <w:right w:val="single" w:sz="4" w:space="0" w:color="auto"/>
            </w:tcBorders>
            <w:shd w:val="clear" w:color="auto" w:fill="auto"/>
            <w:vAlign w:val="center"/>
            <w:hideMark/>
          </w:tcPr>
          <w:p w14:paraId="4EB0EB96" w14:textId="5F88F7F6"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Las demás que se consideren relevantes y de interés para el público.</w:t>
            </w:r>
          </w:p>
        </w:tc>
        <w:tc>
          <w:tcPr>
            <w:tcW w:w="1201" w:type="dxa"/>
            <w:tcBorders>
              <w:top w:val="nil"/>
              <w:left w:val="nil"/>
              <w:bottom w:val="single" w:sz="4" w:space="0" w:color="auto"/>
              <w:right w:val="single" w:sz="4" w:space="0" w:color="auto"/>
            </w:tcBorders>
            <w:shd w:val="clear" w:color="auto" w:fill="auto"/>
            <w:vAlign w:val="center"/>
            <w:hideMark/>
          </w:tcPr>
          <w:p w14:paraId="744AB6A0"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100</w:t>
            </w:r>
          </w:p>
        </w:tc>
      </w:tr>
      <w:tr w:rsidR="003C6FE5" w:rsidRPr="00B92499" w14:paraId="416EF0E0"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664EF4"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XI</w:t>
            </w:r>
          </w:p>
        </w:tc>
        <w:tc>
          <w:tcPr>
            <w:tcW w:w="0" w:type="auto"/>
            <w:tcBorders>
              <w:top w:val="nil"/>
              <w:left w:val="nil"/>
              <w:bottom w:val="single" w:sz="4" w:space="0" w:color="auto"/>
              <w:right w:val="single" w:sz="4" w:space="0" w:color="auto"/>
            </w:tcBorders>
            <w:shd w:val="clear" w:color="auto" w:fill="auto"/>
            <w:vAlign w:val="center"/>
            <w:hideMark/>
          </w:tcPr>
          <w:p w14:paraId="53EFACFF" w14:textId="7A9130E5"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 xml:space="preserve">El número de quejas, denuncias y recursos de revisión dirigidos a cada uno de los </w:t>
            </w:r>
            <w:r w:rsidR="008710F6" w:rsidRPr="00B92499">
              <w:rPr>
                <w:rFonts w:ascii="Arial" w:hAnsi="Arial" w:cs="Arial"/>
                <w:color w:val="000000"/>
                <w:sz w:val="20"/>
                <w:szCs w:val="20"/>
              </w:rPr>
              <w:t>sujeto</w:t>
            </w:r>
            <w:r w:rsidRPr="00B92499">
              <w:rPr>
                <w:rFonts w:ascii="Arial" w:hAnsi="Arial" w:cs="Arial"/>
                <w:color w:val="000000"/>
                <w:sz w:val="20"/>
                <w:szCs w:val="20"/>
              </w:rPr>
              <w:t>s obligados.</w:t>
            </w:r>
          </w:p>
        </w:tc>
        <w:tc>
          <w:tcPr>
            <w:tcW w:w="1201" w:type="dxa"/>
            <w:tcBorders>
              <w:top w:val="nil"/>
              <w:left w:val="nil"/>
              <w:bottom w:val="single" w:sz="4" w:space="0" w:color="auto"/>
              <w:right w:val="single" w:sz="4" w:space="0" w:color="auto"/>
            </w:tcBorders>
            <w:shd w:val="clear" w:color="auto" w:fill="auto"/>
            <w:vAlign w:val="center"/>
            <w:hideMark/>
          </w:tcPr>
          <w:p w14:paraId="2CCCA1FB" w14:textId="77777777"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93.75</w:t>
            </w:r>
          </w:p>
        </w:tc>
      </w:tr>
      <w:tr w:rsidR="003C6FE5" w:rsidRPr="00B92499" w14:paraId="2D749C1A"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1BA148"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3707342E" w14:textId="64BA55B0"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Los criterios orientadores que deriven de sus resoluciones.</w:t>
            </w:r>
          </w:p>
        </w:tc>
        <w:tc>
          <w:tcPr>
            <w:tcW w:w="1201" w:type="dxa"/>
            <w:tcBorders>
              <w:top w:val="nil"/>
              <w:left w:val="nil"/>
              <w:bottom w:val="single" w:sz="4" w:space="0" w:color="auto"/>
              <w:right w:val="single" w:sz="4" w:space="0" w:color="auto"/>
            </w:tcBorders>
            <w:shd w:val="clear" w:color="auto" w:fill="auto"/>
            <w:vAlign w:val="center"/>
            <w:hideMark/>
          </w:tcPr>
          <w:p w14:paraId="2A698734" w14:textId="16C7682D"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87.5</w:t>
            </w:r>
            <w:r w:rsidR="0047062A" w:rsidRPr="00B92499">
              <w:rPr>
                <w:rFonts w:ascii="Arial" w:hAnsi="Arial" w:cs="Arial"/>
                <w:color w:val="000000"/>
                <w:sz w:val="20"/>
                <w:szCs w:val="20"/>
              </w:rPr>
              <w:t>0</w:t>
            </w:r>
          </w:p>
        </w:tc>
      </w:tr>
      <w:tr w:rsidR="003C6FE5" w:rsidRPr="00B92499" w14:paraId="4392788F"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954C7D"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13A43659" w14:textId="5288CA00"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La relación de observaciones y resoluciones emitidas y el seguimiento a cada una de ellas.</w:t>
            </w:r>
          </w:p>
        </w:tc>
        <w:tc>
          <w:tcPr>
            <w:tcW w:w="1201" w:type="dxa"/>
            <w:tcBorders>
              <w:top w:val="nil"/>
              <w:left w:val="nil"/>
              <w:bottom w:val="single" w:sz="4" w:space="0" w:color="auto"/>
              <w:right w:val="single" w:sz="4" w:space="0" w:color="auto"/>
            </w:tcBorders>
            <w:shd w:val="clear" w:color="auto" w:fill="auto"/>
            <w:vAlign w:val="center"/>
            <w:hideMark/>
          </w:tcPr>
          <w:p w14:paraId="1DC5AD34" w14:textId="7AF434E0" w:rsidR="003C6FE5" w:rsidRPr="00B92499" w:rsidRDefault="003C6FE5" w:rsidP="003C6FE5">
            <w:pPr>
              <w:jc w:val="center"/>
              <w:rPr>
                <w:rFonts w:ascii="Arial" w:hAnsi="Arial" w:cs="Arial"/>
                <w:color w:val="000000"/>
                <w:sz w:val="20"/>
                <w:szCs w:val="20"/>
              </w:rPr>
            </w:pPr>
            <w:r w:rsidRPr="00B92499">
              <w:rPr>
                <w:rFonts w:ascii="Arial" w:hAnsi="Arial" w:cs="Arial"/>
                <w:color w:val="000000"/>
                <w:sz w:val="20"/>
                <w:szCs w:val="20"/>
              </w:rPr>
              <w:t>75</w:t>
            </w:r>
            <w:r w:rsidR="0047062A" w:rsidRPr="00B92499">
              <w:rPr>
                <w:rFonts w:ascii="Arial" w:hAnsi="Arial" w:cs="Arial"/>
                <w:color w:val="000000"/>
                <w:sz w:val="20"/>
                <w:szCs w:val="20"/>
              </w:rPr>
              <w:t>.00</w:t>
            </w:r>
          </w:p>
        </w:tc>
      </w:tr>
      <w:tr w:rsidR="003C6FE5" w:rsidRPr="00B92499" w14:paraId="0F0924E9" w14:textId="77777777" w:rsidTr="003C6FE5">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27E987" w14:textId="77777777" w:rsidR="003C6FE5" w:rsidRPr="00B92499" w:rsidRDefault="003C6FE5">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4736C93E" w14:textId="2F07970E" w:rsidR="003C6FE5" w:rsidRPr="00B92499" w:rsidRDefault="003C6FE5" w:rsidP="003C6FE5">
            <w:pPr>
              <w:jc w:val="both"/>
              <w:rPr>
                <w:rFonts w:ascii="Arial" w:hAnsi="Arial" w:cs="Arial"/>
                <w:color w:val="000000"/>
                <w:sz w:val="20"/>
                <w:szCs w:val="20"/>
              </w:rPr>
            </w:pPr>
            <w:r w:rsidRPr="00B92499">
              <w:rPr>
                <w:rFonts w:ascii="Arial" w:hAnsi="Arial" w:cs="Arial"/>
                <w:color w:val="000000"/>
                <w:sz w:val="20"/>
                <w:szCs w:val="20"/>
              </w:rPr>
              <w:t>Las actas, las versiones estenográficas, la liga de grabaciones y la liga de Internet donde se pueden ver en directo las sesiones celebradas del pleno.</w:t>
            </w:r>
          </w:p>
        </w:tc>
        <w:tc>
          <w:tcPr>
            <w:tcW w:w="1201" w:type="dxa"/>
            <w:tcBorders>
              <w:top w:val="nil"/>
              <w:left w:val="nil"/>
              <w:bottom w:val="single" w:sz="4" w:space="0" w:color="auto"/>
              <w:right w:val="single" w:sz="4" w:space="0" w:color="auto"/>
            </w:tcBorders>
            <w:shd w:val="clear" w:color="auto" w:fill="auto"/>
            <w:vAlign w:val="center"/>
            <w:hideMark/>
          </w:tcPr>
          <w:p w14:paraId="1BD32A44" w14:textId="038C6DC3" w:rsidR="003C6FE5" w:rsidRPr="00B92499" w:rsidRDefault="003C6FE5" w:rsidP="0047062A">
            <w:pPr>
              <w:jc w:val="center"/>
              <w:rPr>
                <w:rFonts w:ascii="Arial" w:hAnsi="Arial" w:cs="Arial"/>
                <w:color w:val="000000"/>
                <w:sz w:val="20"/>
                <w:szCs w:val="20"/>
              </w:rPr>
            </w:pPr>
            <w:r w:rsidRPr="00B92499">
              <w:rPr>
                <w:rFonts w:ascii="Arial" w:hAnsi="Arial" w:cs="Arial"/>
                <w:color w:val="000000"/>
                <w:sz w:val="20"/>
                <w:szCs w:val="20"/>
              </w:rPr>
              <w:t>66.6</w:t>
            </w:r>
            <w:r w:rsidR="0047062A" w:rsidRPr="00B92499">
              <w:rPr>
                <w:rFonts w:ascii="Arial" w:hAnsi="Arial" w:cs="Arial"/>
                <w:color w:val="000000"/>
                <w:sz w:val="20"/>
                <w:szCs w:val="20"/>
              </w:rPr>
              <w:t>7</w:t>
            </w:r>
          </w:p>
        </w:tc>
      </w:tr>
    </w:tbl>
    <w:p w14:paraId="7C53BAA0" w14:textId="77777777" w:rsidR="000B0B2E" w:rsidRPr="00B92499" w:rsidRDefault="000B0B2E" w:rsidP="000B0B2E">
      <w:pPr>
        <w:spacing w:before="100" w:beforeAutospacing="1" w:after="100" w:afterAutospacing="1" w:line="360" w:lineRule="auto"/>
        <w:jc w:val="both"/>
        <w:rPr>
          <w:rFonts w:ascii="Arial" w:hAnsi="Arial" w:cs="Arial"/>
        </w:rPr>
      </w:pPr>
    </w:p>
    <w:p w14:paraId="224FCBA9" w14:textId="77777777" w:rsidR="000B0B2E" w:rsidRPr="00B92499" w:rsidRDefault="000B0B2E" w:rsidP="000B0B2E">
      <w:pPr>
        <w:rPr>
          <w:lang w:eastAsia="en-US"/>
        </w:rPr>
      </w:pPr>
    </w:p>
    <w:p w14:paraId="6A44DF0B" w14:textId="3775A8C8" w:rsidR="000B0B2E" w:rsidRPr="00B92499" w:rsidRDefault="000B0B2E" w:rsidP="009F64B5">
      <w:pPr>
        <w:pStyle w:val="Ttulo2"/>
        <w:numPr>
          <w:ilvl w:val="1"/>
          <w:numId w:val="25"/>
        </w:numPr>
        <w:contextualSpacing/>
        <w:jc w:val="both"/>
        <w:rPr>
          <w:rFonts w:ascii="Arial" w:hAnsi="Arial" w:cs="Arial"/>
          <w:b/>
          <w:color w:val="auto"/>
          <w:sz w:val="24"/>
          <w:szCs w:val="24"/>
        </w:rPr>
      </w:pPr>
      <w:bookmarkStart w:id="49" w:name="_Toc23253005"/>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145</w:t>
      </w:r>
      <w:r w:rsidR="00814637" w:rsidRPr="00B92499">
        <w:rPr>
          <w:rFonts w:ascii="Arial" w:hAnsi="Arial" w:cs="Arial"/>
          <w:b/>
          <w:color w:val="auto"/>
          <w:sz w:val="24"/>
          <w:szCs w:val="24"/>
        </w:rPr>
        <w:t>,</w:t>
      </w:r>
      <w:r w:rsidRPr="00B92499">
        <w:rPr>
          <w:rFonts w:ascii="Arial" w:hAnsi="Arial" w:cs="Arial"/>
          <w:b/>
          <w:color w:val="auto"/>
          <w:sz w:val="24"/>
          <w:szCs w:val="24"/>
        </w:rPr>
        <w:t xml:space="preserve"> 146</w:t>
      </w:r>
      <w:r w:rsidR="00814637" w:rsidRPr="00B92499">
        <w:rPr>
          <w:rFonts w:ascii="Arial" w:hAnsi="Arial" w:cs="Arial"/>
          <w:b/>
          <w:color w:val="auto"/>
          <w:sz w:val="24"/>
          <w:szCs w:val="24"/>
        </w:rPr>
        <w:t xml:space="preserve"> y 147</w:t>
      </w:r>
      <w:bookmarkEnd w:id="49"/>
    </w:p>
    <w:p w14:paraId="48771BC7" w14:textId="4C68DA39" w:rsidR="00AF69FA" w:rsidRPr="00B92499" w:rsidRDefault="000B0B2E" w:rsidP="00814637">
      <w:pPr>
        <w:spacing w:before="100" w:beforeAutospacing="1" w:after="100" w:afterAutospacing="1" w:line="360" w:lineRule="auto"/>
        <w:contextualSpacing/>
        <w:jc w:val="both"/>
        <w:rPr>
          <w:rFonts w:ascii="Arial" w:hAnsi="Arial" w:cs="Arial"/>
        </w:rPr>
      </w:pPr>
      <w:r w:rsidRPr="00B92499">
        <w:rPr>
          <w:rFonts w:ascii="Arial" w:hAnsi="Arial" w:cs="Arial"/>
        </w:rPr>
        <w:t>El Congreso de la Ciudad de México alcanzó un cumplimiento total en los artículos 145</w:t>
      </w:r>
      <w:r w:rsidR="00741711" w:rsidRPr="00B92499">
        <w:rPr>
          <w:rFonts w:ascii="Arial" w:hAnsi="Arial" w:cs="Arial"/>
        </w:rPr>
        <w:t>,</w:t>
      </w:r>
      <w:r w:rsidRPr="00B92499">
        <w:rPr>
          <w:rFonts w:ascii="Arial" w:hAnsi="Arial" w:cs="Arial"/>
        </w:rPr>
        <w:t xml:space="preserve"> 146</w:t>
      </w:r>
      <w:r w:rsidR="00741711" w:rsidRPr="00B92499">
        <w:rPr>
          <w:rFonts w:ascii="Arial" w:hAnsi="Arial" w:cs="Arial"/>
        </w:rPr>
        <w:t xml:space="preserve"> y 14</w:t>
      </w:r>
      <w:r w:rsidR="00490622" w:rsidRPr="00B92499">
        <w:rPr>
          <w:rFonts w:ascii="Arial" w:hAnsi="Arial" w:cs="Arial"/>
        </w:rPr>
        <w:t>7</w:t>
      </w:r>
      <w:r w:rsidRPr="00B92499">
        <w:rPr>
          <w:rFonts w:ascii="Arial" w:hAnsi="Arial" w:cs="Arial"/>
        </w:rPr>
        <w:t>, por lo que cumplió a c</w:t>
      </w:r>
      <w:r w:rsidR="005D21D2" w:rsidRPr="00B92499">
        <w:rPr>
          <w:rFonts w:ascii="Arial" w:hAnsi="Arial" w:cs="Arial"/>
        </w:rPr>
        <w:t>abalidad</w:t>
      </w:r>
      <w:r w:rsidRPr="00B92499">
        <w:rPr>
          <w:rFonts w:ascii="Arial" w:hAnsi="Arial" w:cs="Arial"/>
        </w:rPr>
        <w:t xml:space="preserve"> con la obligación de contar en su página de inicio con una señalización fácilmente identificable y accesible que cumplan con los requerimientos de sistematización, comprensión y organización de la información; así como con el calendario de actualización de las obligaciones de transparencia</w:t>
      </w:r>
      <w:r w:rsidR="00814637" w:rsidRPr="00B92499">
        <w:rPr>
          <w:rFonts w:ascii="Arial" w:hAnsi="Arial" w:cs="Arial"/>
        </w:rPr>
        <w:t xml:space="preserve"> y los informes de las personas morales, organizaciones de la sociedad civil o cualquier otro análogo que recibían recursos por cualquier concepto.</w:t>
      </w:r>
      <w:r w:rsidR="00AF69FA" w:rsidRPr="00B92499">
        <w:rPr>
          <w:rFonts w:ascii="Arial" w:hAnsi="Arial" w:cs="Arial"/>
          <w:b/>
        </w:rPr>
        <w:br w:type="page"/>
      </w:r>
    </w:p>
    <w:p w14:paraId="1C717F08" w14:textId="77777777" w:rsidR="00D50026" w:rsidRPr="00B92499" w:rsidRDefault="00AF69FA" w:rsidP="009F64B5">
      <w:pPr>
        <w:pStyle w:val="Ttulo1"/>
        <w:numPr>
          <w:ilvl w:val="0"/>
          <w:numId w:val="5"/>
        </w:numPr>
        <w:contextualSpacing/>
        <w:rPr>
          <w:rFonts w:ascii="Arial" w:hAnsi="Arial" w:cs="Arial"/>
          <w:b/>
          <w:color w:val="auto"/>
          <w:sz w:val="24"/>
          <w:szCs w:val="24"/>
        </w:rPr>
      </w:pPr>
      <w:bookmarkStart w:id="50" w:name="_Toc23253006"/>
      <w:r w:rsidRPr="00B92499">
        <w:rPr>
          <w:rFonts w:ascii="Arial" w:hAnsi="Arial" w:cs="Arial"/>
          <w:b/>
          <w:color w:val="auto"/>
          <w:sz w:val="24"/>
          <w:szCs w:val="24"/>
        </w:rPr>
        <w:lastRenderedPageBreak/>
        <w:t>SINDICATOS</w:t>
      </w:r>
      <w:bookmarkEnd w:id="50"/>
      <w:r w:rsidRPr="00B92499">
        <w:rPr>
          <w:rFonts w:ascii="Arial" w:hAnsi="Arial" w:cs="Arial"/>
          <w:b/>
          <w:color w:val="auto"/>
          <w:sz w:val="24"/>
          <w:szCs w:val="24"/>
        </w:rPr>
        <w:t xml:space="preserve"> </w:t>
      </w:r>
    </w:p>
    <w:p w14:paraId="4923124C" w14:textId="77777777" w:rsidR="00D50026" w:rsidRPr="00B92499" w:rsidRDefault="00D50026" w:rsidP="002E7D47">
      <w:pPr>
        <w:contextualSpacing/>
        <w:rPr>
          <w:rFonts w:ascii="Arial" w:hAnsi="Arial" w:cs="Arial"/>
        </w:rPr>
      </w:pPr>
    </w:p>
    <w:p w14:paraId="6181D6E2" w14:textId="5CFC8A76" w:rsidR="00BD6320" w:rsidRPr="00B92499" w:rsidRDefault="000D3657" w:rsidP="00BD6320">
      <w:pPr>
        <w:spacing w:before="100" w:beforeAutospacing="1" w:after="100" w:afterAutospacing="1" w:line="360" w:lineRule="auto"/>
        <w:contextualSpacing/>
        <w:jc w:val="both"/>
        <w:rPr>
          <w:rFonts w:ascii="Arial" w:hAnsi="Arial" w:cs="Arial"/>
        </w:rPr>
      </w:pPr>
      <w:r w:rsidRPr="00B92499">
        <w:rPr>
          <w:rFonts w:ascii="Arial" w:hAnsi="Arial" w:cs="Arial"/>
        </w:rPr>
        <w:t>El ámbito de personas morales que reciben y ejercen recursos públicos</w:t>
      </w:r>
      <w:r w:rsidR="00BD6320" w:rsidRPr="00B92499">
        <w:rPr>
          <w:rFonts w:ascii="Arial" w:hAnsi="Arial" w:cs="Arial"/>
        </w:rPr>
        <w:t xml:space="preserve">, está conformado por 21 </w:t>
      </w:r>
      <w:r w:rsidR="008710F6" w:rsidRPr="00B92499">
        <w:rPr>
          <w:rFonts w:ascii="Arial" w:hAnsi="Arial" w:cs="Arial"/>
        </w:rPr>
        <w:t>sujeto</w:t>
      </w:r>
      <w:r w:rsidR="00BD6320" w:rsidRPr="00B92499">
        <w:rPr>
          <w:rFonts w:ascii="Arial" w:hAnsi="Arial" w:cs="Arial"/>
        </w:rPr>
        <w:t xml:space="preserve">s </w:t>
      </w:r>
      <w:r w:rsidR="008710F6" w:rsidRPr="00B92499">
        <w:rPr>
          <w:rFonts w:ascii="Arial" w:hAnsi="Arial" w:cs="Arial"/>
        </w:rPr>
        <w:t>obligado</w:t>
      </w:r>
      <w:r w:rsidR="00BD6320" w:rsidRPr="00B92499">
        <w:rPr>
          <w:rFonts w:ascii="Arial" w:hAnsi="Arial" w:cs="Arial"/>
        </w:rPr>
        <w:t xml:space="preserve">s, de conformidad con el Padrón de </w:t>
      </w:r>
      <w:r w:rsidR="008710F6" w:rsidRPr="00B92499">
        <w:rPr>
          <w:rFonts w:ascii="Arial" w:hAnsi="Arial" w:cs="Arial"/>
        </w:rPr>
        <w:t>sujeto</w:t>
      </w:r>
      <w:r w:rsidR="00BD6320" w:rsidRPr="00B92499">
        <w:rPr>
          <w:rFonts w:ascii="Arial" w:hAnsi="Arial" w:cs="Arial"/>
        </w:rPr>
        <w:t xml:space="preserve">s </w:t>
      </w:r>
      <w:r w:rsidR="008710F6" w:rsidRPr="00B92499">
        <w:rPr>
          <w:rFonts w:ascii="Arial" w:hAnsi="Arial" w:cs="Arial"/>
        </w:rPr>
        <w:t>obligado</w:t>
      </w:r>
      <w:r w:rsidR="00BD6320" w:rsidRPr="00B92499">
        <w:rPr>
          <w:rFonts w:ascii="Arial" w:hAnsi="Arial" w:cs="Arial"/>
        </w:rPr>
        <w:t>s supeditados al cumplimiento de la Ley de Transparencia, Acceso a la Información Pública y Rendición de Cuentas de la Ciudad de México</w:t>
      </w:r>
      <w:r w:rsidR="00BD6320" w:rsidRPr="00B92499" w:rsidDel="005B5D1B">
        <w:rPr>
          <w:rFonts w:ascii="Arial" w:hAnsi="Arial" w:cs="Arial"/>
        </w:rPr>
        <w:t xml:space="preserve"> </w:t>
      </w:r>
      <w:r w:rsidR="00BD6320" w:rsidRPr="00B92499">
        <w:rPr>
          <w:rFonts w:ascii="Arial" w:hAnsi="Arial" w:cs="Arial"/>
        </w:rPr>
        <w:t xml:space="preserve">y de la Ley de Protección de Datos Personales en Posesión de los </w:t>
      </w:r>
      <w:r w:rsidR="008710F6" w:rsidRPr="00B92499">
        <w:rPr>
          <w:rFonts w:ascii="Arial" w:hAnsi="Arial" w:cs="Arial"/>
        </w:rPr>
        <w:t>sujeto</w:t>
      </w:r>
      <w:r w:rsidR="00BD6320" w:rsidRPr="00B92499">
        <w:rPr>
          <w:rFonts w:ascii="Arial" w:hAnsi="Arial" w:cs="Arial"/>
        </w:rPr>
        <w:t xml:space="preserve">s </w:t>
      </w:r>
      <w:r w:rsidR="008710F6" w:rsidRPr="00B92499">
        <w:rPr>
          <w:rFonts w:ascii="Arial" w:hAnsi="Arial" w:cs="Arial"/>
        </w:rPr>
        <w:t>obligado</w:t>
      </w:r>
      <w:r w:rsidR="00BD6320" w:rsidRPr="00B92499">
        <w:rPr>
          <w:rFonts w:ascii="Arial" w:hAnsi="Arial" w:cs="Arial"/>
        </w:rPr>
        <w:t xml:space="preserve">s de la Ciudad de México vigente. No obstante, en este apartado únicamente se analizará al Sindicato de Trabajadores del Tribunal de Justicia Administrativa de la Ciudad de México por haber sido incorporado recientemente al Padrón de </w:t>
      </w:r>
      <w:r w:rsidR="008710F6" w:rsidRPr="00B92499">
        <w:rPr>
          <w:rFonts w:ascii="Arial" w:hAnsi="Arial" w:cs="Arial"/>
        </w:rPr>
        <w:t>sujeto</w:t>
      </w:r>
      <w:r w:rsidR="00BD6320" w:rsidRPr="00B92499">
        <w:rPr>
          <w:rFonts w:ascii="Arial" w:hAnsi="Arial" w:cs="Arial"/>
        </w:rPr>
        <w:t xml:space="preserve">s </w:t>
      </w:r>
      <w:r w:rsidR="008710F6" w:rsidRPr="00B92499">
        <w:rPr>
          <w:rFonts w:ascii="Arial" w:hAnsi="Arial" w:cs="Arial"/>
        </w:rPr>
        <w:t>obligado</w:t>
      </w:r>
      <w:r w:rsidR="00BD6320" w:rsidRPr="00B92499">
        <w:rPr>
          <w:rFonts w:ascii="Arial" w:hAnsi="Arial" w:cs="Arial"/>
        </w:rPr>
        <w:t xml:space="preserve">s vigentes. </w:t>
      </w:r>
    </w:p>
    <w:p w14:paraId="4D1D7DCF" w14:textId="77777777" w:rsidR="00BD6320" w:rsidRPr="00B92499" w:rsidRDefault="00BD6320" w:rsidP="00BD6320">
      <w:pPr>
        <w:spacing w:before="100" w:beforeAutospacing="1" w:after="100" w:afterAutospacing="1" w:line="360" w:lineRule="auto"/>
        <w:contextualSpacing/>
        <w:jc w:val="both"/>
        <w:rPr>
          <w:rFonts w:ascii="Arial" w:hAnsi="Arial" w:cs="Arial"/>
        </w:rPr>
      </w:pPr>
    </w:p>
    <w:p w14:paraId="7F7042A4" w14:textId="37DE16F3" w:rsidR="00BD6320" w:rsidRPr="00B92499" w:rsidRDefault="00BD6320"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El </w:t>
      </w:r>
      <w:r w:rsidR="008710F6" w:rsidRPr="00B92499">
        <w:rPr>
          <w:rFonts w:ascii="Arial" w:hAnsi="Arial" w:cs="Arial"/>
        </w:rPr>
        <w:t>sujeto obligado</w:t>
      </w:r>
      <w:r w:rsidRPr="00B92499">
        <w:rPr>
          <w:rFonts w:ascii="Arial" w:hAnsi="Arial" w:cs="Arial"/>
        </w:rPr>
        <w:t xml:space="preserve">, así como su Índice de Cumplimiento de </w:t>
      </w:r>
      <w:r w:rsidR="008710F6" w:rsidRPr="00B92499">
        <w:rPr>
          <w:rFonts w:ascii="Arial" w:hAnsi="Arial" w:cs="Arial"/>
        </w:rPr>
        <w:t>obligaciones de transparencia</w:t>
      </w:r>
      <w:r w:rsidRPr="00B92499">
        <w:rPr>
          <w:rFonts w:ascii="Arial" w:hAnsi="Arial" w:cs="Arial"/>
        </w:rPr>
        <w:t xml:space="preserve"> del Portal de Internet (ICOT-PT), el de la Plataforma Nacional de Transparencia (ICOT-PNT) y el Índice General de Cumplimiento de </w:t>
      </w:r>
      <w:r w:rsidR="008710F6" w:rsidRPr="00B92499">
        <w:rPr>
          <w:rFonts w:ascii="Arial" w:hAnsi="Arial" w:cs="Arial"/>
        </w:rPr>
        <w:t>obligaciones de transparencia</w:t>
      </w:r>
      <w:r w:rsidRPr="00B92499">
        <w:rPr>
          <w:rFonts w:ascii="Arial" w:hAnsi="Arial" w:cs="Arial"/>
        </w:rPr>
        <w:t xml:space="preserve"> (IGOT) se presentan en la siguiente tabla, ordenados de forma descendente, respecto del IGOT: </w:t>
      </w:r>
    </w:p>
    <w:p w14:paraId="10B9829F" w14:textId="77777777" w:rsidR="00BD6320" w:rsidRPr="00B92499" w:rsidRDefault="00BD6320" w:rsidP="002E7D47">
      <w:pPr>
        <w:spacing w:before="100" w:beforeAutospacing="1" w:after="100" w:afterAutospacing="1" w:line="360" w:lineRule="auto"/>
        <w:contextualSpacing/>
        <w:jc w:val="both"/>
        <w:rPr>
          <w:rFonts w:ascii="Arial" w:hAnsi="Arial" w:cs="Arial"/>
        </w:rPr>
      </w:pPr>
    </w:p>
    <w:tbl>
      <w:tblPr>
        <w:tblW w:w="9375" w:type="dxa"/>
        <w:tblLayout w:type="fixed"/>
        <w:tblCellMar>
          <w:left w:w="70" w:type="dxa"/>
          <w:right w:w="70" w:type="dxa"/>
        </w:tblCellMar>
        <w:tblLook w:val="04A0" w:firstRow="1" w:lastRow="0" w:firstColumn="1" w:lastColumn="0" w:noHBand="0" w:noVBand="1"/>
      </w:tblPr>
      <w:tblGrid>
        <w:gridCol w:w="421"/>
        <w:gridCol w:w="1304"/>
        <w:gridCol w:w="850"/>
        <w:gridCol w:w="850"/>
        <w:gridCol w:w="850"/>
        <w:gridCol w:w="850"/>
        <w:gridCol w:w="850"/>
        <w:gridCol w:w="850"/>
        <w:gridCol w:w="850"/>
        <w:gridCol w:w="850"/>
        <w:gridCol w:w="850"/>
      </w:tblGrid>
      <w:tr w:rsidR="00BD6320" w:rsidRPr="00B92499" w14:paraId="7673A4EF" w14:textId="77777777" w:rsidTr="00A027DB">
        <w:trPr>
          <w:trHeight w:val="217"/>
          <w:tblHeader/>
        </w:trPr>
        <w:tc>
          <w:tcPr>
            <w:tcW w:w="9375" w:type="dxa"/>
            <w:gridSpan w:val="11"/>
            <w:tcBorders>
              <w:top w:val="single" w:sz="4" w:space="0" w:color="auto"/>
              <w:left w:val="single" w:sz="4" w:space="0" w:color="auto"/>
              <w:bottom w:val="single" w:sz="4" w:space="0" w:color="auto"/>
              <w:right w:val="single" w:sz="4" w:space="0" w:color="auto"/>
            </w:tcBorders>
            <w:shd w:val="clear" w:color="auto" w:fill="00B0F0"/>
            <w:noWrap/>
            <w:vAlign w:val="center"/>
          </w:tcPr>
          <w:p w14:paraId="37D4B6C0"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Resultados de la Segunda Evaluación Vinculante 2019, respecto del primer semestre del año 2019</w:t>
            </w:r>
          </w:p>
        </w:tc>
      </w:tr>
      <w:tr w:rsidR="00BD6320" w:rsidRPr="00B92499" w14:paraId="1E6CDCCE" w14:textId="77777777" w:rsidTr="00A027DB">
        <w:trPr>
          <w:trHeight w:val="217"/>
          <w:tblHeader/>
        </w:trPr>
        <w:tc>
          <w:tcPr>
            <w:tcW w:w="42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D8B6613"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No.</w:t>
            </w:r>
          </w:p>
        </w:tc>
        <w:tc>
          <w:tcPr>
            <w:tcW w:w="1304" w:type="dxa"/>
            <w:tcBorders>
              <w:top w:val="single" w:sz="4" w:space="0" w:color="auto"/>
              <w:left w:val="nil"/>
              <w:bottom w:val="single" w:sz="4" w:space="0" w:color="auto"/>
              <w:right w:val="single" w:sz="4" w:space="0" w:color="auto"/>
            </w:tcBorders>
            <w:shd w:val="clear" w:color="auto" w:fill="00B0F0"/>
            <w:vAlign w:val="center"/>
            <w:hideMark/>
          </w:tcPr>
          <w:p w14:paraId="77D7CD7A" w14:textId="14EBEE81"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 xml:space="preserve">Denominación del </w:t>
            </w:r>
            <w:r w:rsidR="008710F6" w:rsidRPr="00B92499">
              <w:rPr>
                <w:rFonts w:ascii="Arial" w:hAnsi="Arial" w:cs="Arial"/>
                <w:b/>
                <w:bCs/>
                <w:color w:val="000000"/>
                <w:sz w:val="16"/>
                <w:szCs w:val="16"/>
              </w:rPr>
              <w:t>sujeto obligado</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2CF2B4B6"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%Inf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760B7977"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 Nota 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313FB1C8"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ICOT-PT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739420B1"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%Inf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4B71ABE"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 Notas 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4F89A8FD"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ICOT-PNT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6F24D410"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%Inf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72E86810"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 Notas IGOT</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58ED3090" w14:textId="77777777" w:rsidR="00BD6320" w:rsidRPr="00B92499" w:rsidRDefault="00BD6320" w:rsidP="00A027DB">
            <w:pPr>
              <w:jc w:val="center"/>
              <w:rPr>
                <w:rFonts w:ascii="Arial" w:hAnsi="Arial" w:cs="Arial"/>
                <w:b/>
                <w:bCs/>
                <w:color w:val="000000"/>
                <w:sz w:val="16"/>
                <w:szCs w:val="16"/>
              </w:rPr>
            </w:pPr>
            <w:r w:rsidRPr="00B92499">
              <w:rPr>
                <w:rFonts w:ascii="Arial" w:hAnsi="Arial" w:cs="Arial"/>
                <w:b/>
                <w:bCs/>
                <w:color w:val="000000"/>
                <w:sz w:val="16"/>
                <w:szCs w:val="16"/>
              </w:rPr>
              <w:t>IGOT</w:t>
            </w:r>
          </w:p>
        </w:tc>
      </w:tr>
      <w:tr w:rsidR="00BD6320" w:rsidRPr="00B92499" w14:paraId="465230AC" w14:textId="77777777" w:rsidTr="00A027DB">
        <w:trPr>
          <w:trHeight w:val="68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515F922B"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1</w:t>
            </w:r>
          </w:p>
        </w:tc>
        <w:tc>
          <w:tcPr>
            <w:tcW w:w="1304" w:type="dxa"/>
            <w:tcBorders>
              <w:top w:val="nil"/>
              <w:left w:val="nil"/>
              <w:bottom w:val="single" w:sz="4" w:space="0" w:color="auto"/>
              <w:right w:val="single" w:sz="4" w:space="0" w:color="auto"/>
            </w:tcBorders>
            <w:shd w:val="clear" w:color="000000" w:fill="FFFFFF"/>
            <w:vAlign w:val="center"/>
            <w:hideMark/>
          </w:tcPr>
          <w:p w14:paraId="5A775276" w14:textId="77777777" w:rsidR="00BD6320" w:rsidRPr="00B92499" w:rsidRDefault="00BD6320" w:rsidP="00BD6320">
            <w:pPr>
              <w:jc w:val="both"/>
              <w:rPr>
                <w:rFonts w:ascii="Arial" w:hAnsi="Arial" w:cs="Arial"/>
                <w:color w:val="000000"/>
                <w:sz w:val="16"/>
                <w:szCs w:val="16"/>
              </w:rPr>
            </w:pPr>
            <w:r w:rsidRPr="00B92499">
              <w:rPr>
                <w:rFonts w:ascii="Arial" w:hAnsi="Arial" w:cs="Arial"/>
                <w:color w:val="000000"/>
                <w:sz w:val="16"/>
                <w:szCs w:val="16"/>
              </w:rPr>
              <w:t>Sindicato de Trabajadores del Tribunal de Justicia Administrativa de la Ciudad de México</w:t>
            </w:r>
          </w:p>
        </w:tc>
        <w:tc>
          <w:tcPr>
            <w:tcW w:w="850" w:type="dxa"/>
            <w:tcBorders>
              <w:top w:val="nil"/>
              <w:left w:val="nil"/>
              <w:bottom w:val="single" w:sz="4" w:space="0" w:color="auto"/>
              <w:right w:val="single" w:sz="4" w:space="0" w:color="auto"/>
            </w:tcBorders>
            <w:shd w:val="clear" w:color="000000" w:fill="BDD7EE"/>
            <w:noWrap/>
            <w:vAlign w:val="center"/>
            <w:hideMark/>
          </w:tcPr>
          <w:p w14:paraId="2EA366B7"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84.45</w:t>
            </w:r>
          </w:p>
        </w:tc>
        <w:tc>
          <w:tcPr>
            <w:tcW w:w="850" w:type="dxa"/>
            <w:tcBorders>
              <w:top w:val="nil"/>
              <w:left w:val="nil"/>
              <w:bottom w:val="single" w:sz="4" w:space="0" w:color="auto"/>
              <w:right w:val="single" w:sz="4" w:space="0" w:color="auto"/>
            </w:tcBorders>
            <w:shd w:val="clear" w:color="000000" w:fill="D9D9D9"/>
            <w:noWrap/>
            <w:vAlign w:val="center"/>
            <w:hideMark/>
          </w:tcPr>
          <w:p w14:paraId="4DA838E5"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3.44</w:t>
            </w:r>
          </w:p>
        </w:tc>
        <w:tc>
          <w:tcPr>
            <w:tcW w:w="850" w:type="dxa"/>
            <w:tcBorders>
              <w:top w:val="nil"/>
              <w:left w:val="nil"/>
              <w:bottom w:val="single" w:sz="4" w:space="0" w:color="auto"/>
              <w:right w:val="single" w:sz="4" w:space="0" w:color="auto"/>
            </w:tcBorders>
            <w:shd w:val="clear" w:color="auto" w:fill="auto"/>
            <w:noWrap/>
            <w:vAlign w:val="center"/>
            <w:hideMark/>
          </w:tcPr>
          <w:p w14:paraId="499B8ECB"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87.90</w:t>
            </w:r>
          </w:p>
        </w:tc>
        <w:tc>
          <w:tcPr>
            <w:tcW w:w="850" w:type="dxa"/>
            <w:tcBorders>
              <w:top w:val="nil"/>
              <w:left w:val="nil"/>
              <w:bottom w:val="single" w:sz="4" w:space="0" w:color="auto"/>
              <w:right w:val="single" w:sz="4" w:space="0" w:color="auto"/>
            </w:tcBorders>
            <w:shd w:val="clear" w:color="000000" w:fill="BDD7EE"/>
            <w:noWrap/>
            <w:vAlign w:val="center"/>
            <w:hideMark/>
          </w:tcPr>
          <w:p w14:paraId="6FC1E745"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81.98</w:t>
            </w:r>
          </w:p>
        </w:tc>
        <w:tc>
          <w:tcPr>
            <w:tcW w:w="850" w:type="dxa"/>
            <w:tcBorders>
              <w:top w:val="nil"/>
              <w:left w:val="nil"/>
              <w:bottom w:val="single" w:sz="4" w:space="0" w:color="auto"/>
              <w:right w:val="single" w:sz="4" w:space="0" w:color="auto"/>
            </w:tcBorders>
            <w:shd w:val="clear" w:color="000000" w:fill="D9D9D9"/>
            <w:noWrap/>
            <w:vAlign w:val="center"/>
            <w:hideMark/>
          </w:tcPr>
          <w:p w14:paraId="7CD246FC"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4.52</w:t>
            </w:r>
          </w:p>
        </w:tc>
        <w:tc>
          <w:tcPr>
            <w:tcW w:w="850" w:type="dxa"/>
            <w:tcBorders>
              <w:top w:val="nil"/>
              <w:left w:val="nil"/>
              <w:bottom w:val="single" w:sz="4" w:space="0" w:color="auto"/>
              <w:right w:val="single" w:sz="4" w:space="0" w:color="auto"/>
            </w:tcBorders>
            <w:shd w:val="clear" w:color="auto" w:fill="auto"/>
            <w:noWrap/>
            <w:vAlign w:val="center"/>
            <w:hideMark/>
          </w:tcPr>
          <w:p w14:paraId="29FA3ABE"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86.50</w:t>
            </w:r>
          </w:p>
        </w:tc>
        <w:tc>
          <w:tcPr>
            <w:tcW w:w="850" w:type="dxa"/>
            <w:tcBorders>
              <w:top w:val="nil"/>
              <w:left w:val="nil"/>
              <w:bottom w:val="single" w:sz="4" w:space="0" w:color="auto"/>
              <w:right w:val="single" w:sz="4" w:space="0" w:color="auto"/>
            </w:tcBorders>
            <w:shd w:val="clear" w:color="000000" w:fill="BDD7EE"/>
            <w:noWrap/>
            <w:vAlign w:val="center"/>
            <w:hideMark/>
          </w:tcPr>
          <w:p w14:paraId="7FAC54F9"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83.22</w:t>
            </w:r>
          </w:p>
        </w:tc>
        <w:tc>
          <w:tcPr>
            <w:tcW w:w="850" w:type="dxa"/>
            <w:tcBorders>
              <w:top w:val="nil"/>
              <w:left w:val="nil"/>
              <w:bottom w:val="single" w:sz="4" w:space="0" w:color="auto"/>
              <w:right w:val="single" w:sz="4" w:space="0" w:color="auto"/>
            </w:tcBorders>
            <w:shd w:val="clear" w:color="000000" w:fill="D9D9D9"/>
            <w:noWrap/>
            <w:vAlign w:val="center"/>
            <w:hideMark/>
          </w:tcPr>
          <w:p w14:paraId="1144DF61"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3.98</w:t>
            </w:r>
          </w:p>
        </w:tc>
        <w:tc>
          <w:tcPr>
            <w:tcW w:w="850" w:type="dxa"/>
            <w:tcBorders>
              <w:top w:val="nil"/>
              <w:left w:val="nil"/>
              <w:bottom w:val="single" w:sz="4" w:space="0" w:color="auto"/>
              <w:right w:val="single" w:sz="4" w:space="0" w:color="auto"/>
            </w:tcBorders>
            <w:shd w:val="clear" w:color="auto" w:fill="auto"/>
            <w:noWrap/>
            <w:vAlign w:val="center"/>
            <w:hideMark/>
          </w:tcPr>
          <w:p w14:paraId="1A3A36BA" w14:textId="77777777" w:rsidR="00BD6320" w:rsidRPr="00B92499" w:rsidRDefault="00BD6320" w:rsidP="00BD6320">
            <w:pPr>
              <w:jc w:val="center"/>
              <w:rPr>
                <w:rFonts w:ascii="Arial" w:hAnsi="Arial" w:cs="Arial"/>
                <w:color w:val="000000"/>
                <w:sz w:val="16"/>
                <w:szCs w:val="16"/>
              </w:rPr>
            </w:pPr>
            <w:r w:rsidRPr="00B92499">
              <w:rPr>
                <w:rFonts w:ascii="Arial" w:hAnsi="Arial" w:cs="Arial"/>
                <w:color w:val="000000"/>
                <w:sz w:val="16"/>
                <w:szCs w:val="16"/>
              </w:rPr>
              <w:t>87.20</w:t>
            </w:r>
          </w:p>
        </w:tc>
      </w:tr>
    </w:tbl>
    <w:p w14:paraId="5A220BAD" w14:textId="77777777" w:rsidR="00BD6320" w:rsidRPr="00B92499" w:rsidRDefault="00BD6320" w:rsidP="00BD6320">
      <w:pPr>
        <w:spacing w:before="100" w:beforeAutospacing="1" w:after="100" w:afterAutospacing="1" w:line="360" w:lineRule="auto"/>
        <w:contextualSpacing/>
        <w:jc w:val="both"/>
        <w:rPr>
          <w:rFonts w:ascii="Arial" w:hAnsi="Arial" w:cs="Arial"/>
          <w:sz w:val="16"/>
          <w:szCs w:val="16"/>
        </w:rPr>
      </w:pPr>
      <w:r w:rsidRPr="00B92499">
        <w:rPr>
          <w:rFonts w:ascii="Arial" w:hAnsi="Arial" w:cs="Arial"/>
          <w:b/>
          <w:sz w:val="16"/>
          <w:szCs w:val="16"/>
        </w:rPr>
        <w:t>Nota metodológica</w:t>
      </w:r>
      <w:r w:rsidRPr="00B92499">
        <w:rPr>
          <w:rFonts w:ascii="Arial" w:hAnsi="Arial" w:cs="Arial"/>
          <w:sz w:val="16"/>
          <w:szCs w:val="16"/>
        </w:rPr>
        <w:t xml:space="preserve">: </w:t>
      </w:r>
    </w:p>
    <w:p w14:paraId="6726D9D7" w14:textId="77777777" w:rsidR="00BD6320" w:rsidRPr="00B92499" w:rsidRDefault="00BD6320" w:rsidP="00BD6320">
      <w:pPr>
        <w:spacing w:before="100" w:beforeAutospacing="1" w:after="100" w:afterAutospacing="1" w:line="360" w:lineRule="auto"/>
        <w:contextualSpacing/>
        <w:jc w:val="both"/>
        <w:rPr>
          <w:rFonts w:ascii="Arial" w:hAnsi="Arial" w:cs="Arial"/>
          <w:sz w:val="16"/>
          <w:szCs w:val="16"/>
        </w:rPr>
      </w:pPr>
      <w:r w:rsidRPr="00B92499">
        <w:rPr>
          <w:rFonts w:ascii="Arial" w:hAnsi="Arial" w:cs="Arial"/>
          <w:sz w:val="16"/>
          <w:szCs w:val="16"/>
        </w:rPr>
        <w:t>El IGOT se compone del promedio de ICOT-PT e ICOT-PNT.</w:t>
      </w:r>
    </w:p>
    <w:p w14:paraId="587FFFD2" w14:textId="68BA94EB"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PT:</w:t>
      </w:r>
      <w:r w:rsidRPr="00B92499">
        <w:rPr>
          <w:rFonts w:ascii="Arial" w:hAnsi="Arial" w:cs="Arial"/>
          <w:color w:val="000000"/>
          <w:sz w:val="16"/>
          <w:szCs w:val="16"/>
        </w:rPr>
        <w:t xml:space="preserve"> corresponde </w:t>
      </w:r>
      <w:r w:rsidR="00631D4C" w:rsidRPr="00B92499">
        <w:rPr>
          <w:rFonts w:ascii="Arial" w:hAnsi="Arial" w:cs="Arial"/>
          <w:color w:val="000000"/>
          <w:sz w:val="16"/>
          <w:szCs w:val="16"/>
        </w:rPr>
        <w:t xml:space="preserve">al </w:t>
      </w:r>
      <w:r w:rsidRPr="00B92499">
        <w:rPr>
          <w:rFonts w:ascii="Arial" w:hAnsi="Arial" w:cs="Arial"/>
          <w:color w:val="000000"/>
          <w:sz w:val="16"/>
          <w:szCs w:val="16"/>
        </w:rPr>
        <w:t>p</w:t>
      </w:r>
      <w:r w:rsidR="00735992" w:rsidRPr="00B92499">
        <w:rPr>
          <w:rFonts w:ascii="Arial" w:hAnsi="Arial" w:cs="Arial"/>
          <w:color w:val="000000"/>
          <w:sz w:val="16"/>
          <w:szCs w:val="16"/>
        </w:rPr>
        <w:t>or</w:t>
      </w:r>
      <w:r w:rsidRPr="00B92499">
        <w:rPr>
          <w:rFonts w:ascii="Arial" w:hAnsi="Arial" w:cs="Arial"/>
          <w:color w:val="000000"/>
          <w:sz w:val="16"/>
          <w:szCs w:val="16"/>
        </w:rPr>
        <w:t xml:space="preserve">centaje del índice que hace referencia a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 xml:space="preserve">. </w:t>
      </w:r>
    </w:p>
    <w:p w14:paraId="4185F8A6" w14:textId="04A520DA"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%Inf PNT:</w:t>
      </w:r>
      <w:r w:rsidRPr="00B92499">
        <w:rPr>
          <w:rFonts w:ascii="Arial" w:hAnsi="Arial" w:cs="Arial"/>
          <w:color w:val="000000"/>
          <w:sz w:val="16"/>
          <w:szCs w:val="16"/>
        </w:rPr>
        <w:t xml:space="preserve"> corresponde </w:t>
      </w:r>
      <w:r w:rsidR="00735992" w:rsidRPr="00B92499">
        <w:rPr>
          <w:rFonts w:ascii="Arial" w:hAnsi="Arial" w:cs="Arial"/>
          <w:color w:val="000000"/>
          <w:sz w:val="16"/>
          <w:szCs w:val="16"/>
        </w:rPr>
        <w:t xml:space="preserve">al porcentaje </w:t>
      </w:r>
      <w:r w:rsidRPr="00B92499">
        <w:rPr>
          <w:rFonts w:ascii="Arial" w:hAnsi="Arial" w:cs="Arial"/>
          <w:color w:val="000000"/>
          <w:sz w:val="16"/>
          <w:szCs w:val="16"/>
        </w:rPr>
        <w:t xml:space="preserve">del índice que hace referencia a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4BA0DE95" w14:textId="25B37475"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 xml:space="preserve">%Inf IGOT: </w:t>
      </w:r>
      <w:r w:rsidRPr="00B92499">
        <w:rPr>
          <w:rFonts w:ascii="Arial" w:hAnsi="Arial" w:cs="Arial"/>
          <w:color w:val="000000"/>
          <w:sz w:val="16"/>
          <w:szCs w:val="16"/>
        </w:rPr>
        <w:t xml:space="preserve">corresponde </w:t>
      </w:r>
      <w:r w:rsidR="00735992" w:rsidRPr="00B92499">
        <w:rPr>
          <w:rFonts w:ascii="Arial" w:hAnsi="Arial" w:cs="Arial"/>
          <w:color w:val="000000"/>
          <w:sz w:val="16"/>
          <w:szCs w:val="16"/>
        </w:rPr>
        <w:t xml:space="preserve">al porcentaje </w:t>
      </w:r>
      <w:r w:rsidRPr="00B92499">
        <w:rPr>
          <w:rFonts w:ascii="Arial" w:hAnsi="Arial" w:cs="Arial"/>
          <w:color w:val="000000"/>
          <w:sz w:val="16"/>
          <w:szCs w:val="16"/>
        </w:rPr>
        <w:t xml:space="preserve">del índice que hace referencia a la información que se encuentra publicada y actualizada tanto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7587D1A4" w14:textId="19D5142B"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PT:</w:t>
      </w:r>
      <w:r w:rsidRPr="00B92499">
        <w:rPr>
          <w:rFonts w:ascii="Arial" w:hAnsi="Arial" w:cs="Arial"/>
          <w:color w:val="000000"/>
          <w:sz w:val="16"/>
          <w:szCs w:val="16"/>
        </w:rPr>
        <w:t xml:space="preserve"> corresponde </w:t>
      </w:r>
      <w:r w:rsidR="00735992" w:rsidRPr="00B92499">
        <w:rPr>
          <w:rFonts w:ascii="Arial" w:hAnsi="Arial" w:cs="Arial"/>
          <w:color w:val="000000"/>
          <w:sz w:val="16"/>
          <w:szCs w:val="16"/>
        </w:rPr>
        <w:t xml:space="preserve">al porcentaje </w:t>
      </w:r>
      <w:r w:rsidRPr="00B92499">
        <w:rPr>
          <w:rFonts w:ascii="Arial" w:hAnsi="Arial" w:cs="Arial"/>
          <w:color w:val="000000"/>
          <w:sz w:val="16"/>
          <w:szCs w:val="16"/>
        </w:rPr>
        <w:t xml:space="preserve">del índice que hace referencia a las notas aclaratorias por no generación, competencia, publicación o actualización de la información que se encuentra publicada y actualizada en el Portal de Internet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768286C6" w14:textId="50E38418"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lastRenderedPageBreak/>
        <w:t>%Nota PNT:</w:t>
      </w:r>
      <w:r w:rsidRPr="00B92499">
        <w:rPr>
          <w:rFonts w:ascii="Arial" w:hAnsi="Arial" w:cs="Arial"/>
          <w:color w:val="000000"/>
          <w:sz w:val="16"/>
          <w:szCs w:val="16"/>
        </w:rPr>
        <w:t xml:space="preserve"> corresponde </w:t>
      </w:r>
      <w:r w:rsidR="00735992" w:rsidRPr="00B92499">
        <w:rPr>
          <w:rFonts w:ascii="Arial" w:hAnsi="Arial" w:cs="Arial"/>
          <w:color w:val="000000"/>
          <w:sz w:val="16"/>
          <w:szCs w:val="16"/>
        </w:rPr>
        <w:t xml:space="preserve">al porcentaje </w:t>
      </w:r>
      <w:r w:rsidRPr="00B92499">
        <w:rPr>
          <w:rFonts w:ascii="Arial" w:hAnsi="Arial" w:cs="Arial"/>
          <w:color w:val="000000"/>
          <w:sz w:val="16"/>
          <w:szCs w:val="16"/>
        </w:rPr>
        <w:t xml:space="preserve">del índice que hace referencia a las notas aclaratorias por no generación, competencia, publicación o actualización de la información que se encuentra publicada y actualizada en la Plataforma Nacional de Transparencia (PNT)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08794010" w14:textId="569D1EF3" w:rsidR="00BD6320" w:rsidRPr="00B92499" w:rsidRDefault="00BD6320" w:rsidP="00BD6320">
      <w:pPr>
        <w:spacing w:before="100" w:beforeAutospacing="1" w:after="100" w:afterAutospacing="1" w:line="360" w:lineRule="auto"/>
        <w:contextualSpacing/>
        <w:jc w:val="both"/>
        <w:rPr>
          <w:rFonts w:ascii="Arial" w:hAnsi="Arial" w:cs="Arial"/>
          <w:color w:val="000000"/>
          <w:sz w:val="16"/>
          <w:szCs w:val="16"/>
        </w:rPr>
      </w:pPr>
      <w:r w:rsidRPr="00B92499">
        <w:rPr>
          <w:rFonts w:ascii="Arial" w:hAnsi="Arial" w:cs="Arial"/>
          <w:b/>
          <w:bCs/>
          <w:color w:val="000000"/>
          <w:sz w:val="16"/>
          <w:szCs w:val="16"/>
        </w:rPr>
        <w:t>%Nota IGOT:</w:t>
      </w:r>
      <w:r w:rsidRPr="00B92499">
        <w:rPr>
          <w:rFonts w:ascii="Arial" w:hAnsi="Arial" w:cs="Arial"/>
          <w:color w:val="000000"/>
          <w:sz w:val="16"/>
          <w:szCs w:val="16"/>
        </w:rPr>
        <w:t xml:space="preserve"> corresponde </w:t>
      </w:r>
      <w:r w:rsidR="00735992" w:rsidRPr="00B92499">
        <w:rPr>
          <w:rFonts w:ascii="Arial" w:hAnsi="Arial" w:cs="Arial"/>
          <w:color w:val="000000"/>
          <w:sz w:val="16"/>
          <w:szCs w:val="16"/>
        </w:rPr>
        <w:t xml:space="preserve">al porcentaje </w:t>
      </w:r>
      <w:r w:rsidRPr="00B92499">
        <w:rPr>
          <w:rFonts w:ascii="Arial" w:hAnsi="Arial" w:cs="Arial"/>
          <w:color w:val="000000"/>
          <w:sz w:val="16"/>
          <w:szCs w:val="16"/>
        </w:rPr>
        <w:t xml:space="preserve">del índice que hace referencia a las notas aclaratorias por no generación, competencia, publicación o actualización de la información que se encuentra publicada y actualizada en la PNT y el PI del </w:t>
      </w:r>
      <w:r w:rsidR="008710F6" w:rsidRPr="00B92499">
        <w:rPr>
          <w:rFonts w:ascii="Arial" w:hAnsi="Arial" w:cs="Arial"/>
          <w:color w:val="000000"/>
          <w:sz w:val="16"/>
          <w:szCs w:val="16"/>
        </w:rPr>
        <w:t>sujeto obligado</w:t>
      </w:r>
      <w:r w:rsidRPr="00B92499">
        <w:rPr>
          <w:rFonts w:ascii="Arial" w:hAnsi="Arial" w:cs="Arial"/>
          <w:color w:val="000000"/>
          <w:sz w:val="16"/>
          <w:szCs w:val="16"/>
        </w:rPr>
        <w:t>.</w:t>
      </w:r>
    </w:p>
    <w:p w14:paraId="2E9B491B" w14:textId="77777777" w:rsidR="00BD6320" w:rsidRPr="00B92499" w:rsidRDefault="00BD6320" w:rsidP="002E7D47">
      <w:pPr>
        <w:spacing w:before="100" w:beforeAutospacing="1" w:after="100" w:afterAutospacing="1" w:line="360" w:lineRule="auto"/>
        <w:contextualSpacing/>
        <w:jc w:val="both"/>
        <w:rPr>
          <w:rFonts w:ascii="Arial" w:hAnsi="Arial" w:cs="Arial"/>
        </w:rPr>
      </w:pPr>
    </w:p>
    <w:p w14:paraId="1650597E" w14:textId="37D8C165" w:rsidR="000D3657" w:rsidRPr="00B92499" w:rsidRDefault="000D3657"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atención a la Tabla de Aplicabilidad realizada por la DEAEE del Instituto, las obligaciones que los sindicatos deben actualizar y publicar en el SIPOT de la PNT, así como en sus respectivos portales de internet son las contempladas en los siguientes </w:t>
      </w:r>
      <w:r w:rsidR="008F67E4" w:rsidRPr="00B92499">
        <w:rPr>
          <w:rFonts w:ascii="Arial" w:hAnsi="Arial" w:cs="Arial"/>
        </w:rPr>
        <w:t>artículo</w:t>
      </w:r>
      <w:r w:rsidRPr="00B92499">
        <w:rPr>
          <w:rFonts w:ascii="Arial" w:hAnsi="Arial" w:cs="Arial"/>
        </w:rPr>
        <w:t xml:space="preserve">s: </w:t>
      </w:r>
    </w:p>
    <w:p w14:paraId="2385F198" w14:textId="7D57D5CC"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121. Obligaciones comunes, en los que respecta a las fracciones I-III, XIV, </w:t>
      </w:r>
      <w:r w:rsidR="000B2F47" w:rsidRPr="00B92499">
        <w:rPr>
          <w:rFonts w:ascii="Arial" w:hAnsi="Arial" w:cs="Arial"/>
          <w:sz w:val="24"/>
          <w:szCs w:val="24"/>
          <w:lang w:val="es-ES_tradnl"/>
        </w:rPr>
        <w:t>XI</w:t>
      </w:r>
      <w:r w:rsidR="000D3657" w:rsidRPr="00B92499">
        <w:rPr>
          <w:rFonts w:ascii="Arial" w:hAnsi="Arial" w:cs="Arial"/>
          <w:sz w:val="24"/>
          <w:szCs w:val="24"/>
          <w:lang w:val="es-ES_tradnl"/>
        </w:rPr>
        <w:t xml:space="preserve">X-XX, XXV-XXVI, </w:t>
      </w:r>
      <w:r w:rsidR="000B2F47" w:rsidRPr="00B92499">
        <w:rPr>
          <w:rFonts w:ascii="Arial" w:hAnsi="Arial" w:cs="Arial"/>
          <w:sz w:val="24"/>
          <w:szCs w:val="24"/>
          <w:lang w:val="es-ES_tradnl"/>
        </w:rPr>
        <w:t>XX</w:t>
      </w:r>
      <w:r w:rsidR="000D3657" w:rsidRPr="00B92499">
        <w:rPr>
          <w:rFonts w:ascii="Arial" w:hAnsi="Arial" w:cs="Arial"/>
          <w:sz w:val="24"/>
          <w:szCs w:val="24"/>
          <w:lang w:val="es-ES_tradnl"/>
        </w:rPr>
        <w:t>IX, XXXI-XXXII, XXXVI, XXXVIII, XLIII, XLV, XLIX y LII,</w:t>
      </w:r>
    </w:p>
    <w:p w14:paraId="64921E3F" w14:textId="2DB1ED05"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137. Obligaciones específicas de la Junta de Conciliación y Arbitraje, en lo que respecta a las fracciones I-X,</w:t>
      </w:r>
    </w:p>
    <w:p w14:paraId="549F4268" w14:textId="1DDEA0AD"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138. Obligaciones específicas de los Sindicatos,</w:t>
      </w:r>
    </w:p>
    <w:p w14:paraId="7CC382B8" w14:textId="00C6C7BF"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145. Disposiciones Particulares,</w:t>
      </w:r>
    </w:p>
    <w:p w14:paraId="737ABF1B" w14:textId="64E99505"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146. Disposiciones Particulares, y </w:t>
      </w:r>
    </w:p>
    <w:p w14:paraId="47026F29" w14:textId="7006C837" w:rsidR="000D3657" w:rsidRPr="00B92499" w:rsidRDefault="009D7771" w:rsidP="009F64B5">
      <w:pPr>
        <w:pStyle w:val="Prrafodelista"/>
        <w:numPr>
          <w:ilvl w:val="0"/>
          <w:numId w:val="26"/>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Artículo</w:t>
      </w:r>
      <w:r w:rsidR="000D3657" w:rsidRPr="00B92499">
        <w:rPr>
          <w:rFonts w:ascii="Arial" w:hAnsi="Arial" w:cs="Arial"/>
          <w:sz w:val="24"/>
          <w:szCs w:val="24"/>
          <w:lang w:val="es-ES_tradnl"/>
        </w:rPr>
        <w:t xml:space="preserve"> 147. Disposiciones Particulares.</w:t>
      </w:r>
    </w:p>
    <w:p w14:paraId="436F5794" w14:textId="2BD0E64D" w:rsidR="000D3657" w:rsidRPr="00B92499" w:rsidRDefault="000D3657" w:rsidP="009F64B5">
      <w:pPr>
        <w:pStyle w:val="Ttulo2"/>
        <w:numPr>
          <w:ilvl w:val="1"/>
          <w:numId w:val="19"/>
        </w:numPr>
        <w:contextualSpacing/>
        <w:jc w:val="both"/>
        <w:rPr>
          <w:rFonts w:ascii="Arial" w:hAnsi="Arial" w:cs="Arial"/>
          <w:b/>
          <w:color w:val="auto"/>
          <w:sz w:val="24"/>
          <w:szCs w:val="24"/>
        </w:rPr>
      </w:pPr>
      <w:bookmarkStart w:id="51" w:name="_Toc23253007"/>
      <w:r w:rsidRPr="00B92499">
        <w:rPr>
          <w:rFonts w:ascii="Arial" w:hAnsi="Arial" w:cs="Arial"/>
          <w:b/>
          <w:color w:val="auto"/>
          <w:sz w:val="24"/>
          <w:szCs w:val="24"/>
        </w:rPr>
        <w:t>Análisis global de cumplimiento de los Sindicatos</w:t>
      </w:r>
      <w:bookmarkEnd w:id="51"/>
    </w:p>
    <w:p w14:paraId="217FA0E2" w14:textId="77777777" w:rsidR="008D44C3" w:rsidRPr="00B92499" w:rsidRDefault="008D44C3" w:rsidP="008D44C3">
      <w:pPr>
        <w:rPr>
          <w:rFonts w:ascii="Arial" w:hAnsi="Arial" w:cs="Arial"/>
        </w:rPr>
      </w:pPr>
    </w:p>
    <w:p w14:paraId="384BC8F5" w14:textId="0844FABD" w:rsidR="00BD6320" w:rsidRPr="00B92499" w:rsidRDefault="00BD6320" w:rsidP="00BD6320">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Índices Globales de Cumplimiento de las </w:t>
      </w:r>
      <w:r w:rsidR="008710F6" w:rsidRPr="00B92499">
        <w:rPr>
          <w:rFonts w:ascii="Arial" w:hAnsi="Arial" w:cs="Arial"/>
          <w:u w:val="single"/>
        </w:rPr>
        <w:t>obligaciones de transparencia</w:t>
      </w:r>
    </w:p>
    <w:p w14:paraId="4E692416" w14:textId="77777777" w:rsidR="00BD6320" w:rsidRPr="00B92499" w:rsidRDefault="00BD6320" w:rsidP="00BD6320">
      <w:pPr>
        <w:spacing w:before="100" w:beforeAutospacing="1" w:after="100" w:afterAutospacing="1" w:line="360" w:lineRule="auto"/>
        <w:contextualSpacing/>
        <w:jc w:val="both"/>
        <w:rPr>
          <w:rFonts w:ascii="Arial" w:hAnsi="Arial" w:cs="Arial"/>
        </w:rPr>
      </w:pPr>
      <w:r w:rsidRPr="00B92499">
        <w:rPr>
          <w:rFonts w:ascii="Arial" w:hAnsi="Arial" w:cs="Arial"/>
        </w:rPr>
        <w:t>Con relación a IGOT, el Sindicato en comento obtuvo</w:t>
      </w:r>
      <w:r w:rsidR="004B6AFD" w:rsidRPr="00B92499">
        <w:rPr>
          <w:rFonts w:ascii="Arial" w:hAnsi="Arial" w:cs="Arial"/>
        </w:rPr>
        <w:t xml:space="preserve"> un promedio de 87.20%, el cual está compuesto por un índice de 86.50% en lo que corresponde a la Plataforma Nacional de Transparencia (PNT) y un índice de 87.90% en lo que se refiere al Portal Institucional (PI). </w:t>
      </w:r>
    </w:p>
    <w:p w14:paraId="329A4BF7" w14:textId="77777777" w:rsidR="00BD6320" w:rsidRPr="00B92499" w:rsidRDefault="00BD6320" w:rsidP="00BD6320">
      <w:pPr>
        <w:spacing w:before="100" w:beforeAutospacing="1" w:after="100" w:afterAutospacing="1" w:line="360" w:lineRule="auto"/>
        <w:contextualSpacing/>
        <w:jc w:val="both"/>
        <w:rPr>
          <w:rFonts w:ascii="Arial" w:hAnsi="Arial" w:cs="Arial"/>
        </w:rPr>
      </w:pPr>
    </w:p>
    <w:p w14:paraId="646112C1" w14:textId="77777777" w:rsidR="00BD6320" w:rsidRPr="00B92499" w:rsidRDefault="00BD6320" w:rsidP="00BD6320">
      <w:pPr>
        <w:spacing w:before="100" w:beforeAutospacing="1" w:after="100" w:afterAutospacing="1" w:line="360" w:lineRule="auto"/>
        <w:contextualSpacing/>
        <w:jc w:val="both"/>
        <w:rPr>
          <w:rFonts w:ascii="Arial" w:hAnsi="Arial" w:cs="Arial"/>
        </w:rPr>
      </w:pPr>
      <w:r w:rsidRPr="00B92499">
        <w:rPr>
          <w:rFonts w:ascii="Arial" w:hAnsi="Arial" w:cs="Arial"/>
        </w:rPr>
        <w:t xml:space="preserve">No obstante, el grado de cumplimiento anteriormente señalado está conformado por el índice de cumplimiento respecto de la información que se encuentra pública y actualizada tanto en los Portales de Internet Institucionales como en la Plataforma Nacional de Transparencia y el índice de cumplimiento respecto </w:t>
      </w:r>
      <w:r w:rsidR="004C101C" w:rsidRPr="00B92499">
        <w:rPr>
          <w:rFonts w:ascii="Arial" w:hAnsi="Arial" w:cs="Arial"/>
        </w:rPr>
        <w:t>de la atención a</w:t>
      </w:r>
      <w:r w:rsidRPr="00B92499">
        <w:rPr>
          <w:rFonts w:ascii="Arial" w:hAnsi="Arial" w:cs="Arial"/>
        </w:rPr>
        <w:t xml:space="preserve"> lo mandatado en las obligaciones de transparencia a través de la publicación de una </w:t>
      </w:r>
      <w:r w:rsidRPr="00B92499">
        <w:rPr>
          <w:rFonts w:ascii="Arial" w:hAnsi="Arial" w:cs="Arial"/>
        </w:rPr>
        <w:lastRenderedPageBreak/>
        <w:t xml:space="preserve">nota fundada y motivada que aclara el por qué no se generó, publicó o actualizó la información. </w:t>
      </w:r>
    </w:p>
    <w:p w14:paraId="7B194FA6" w14:textId="77777777" w:rsidR="00BD6320" w:rsidRPr="00B92499" w:rsidRDefault="00BD6320" w:rsidP="00BD6320">
      <w:pPr>
        <w:spacing w:before="100" w:beforeAutospacing="1" w:after="100" w:afterAutospacing="1" w:line="360" w:lineRule="auto"/>
        <w:contextualSpacing/>
        <w:jc w:val="both"/>
        <w:rPr>
          <w:rFonts w:ascii="Arial" w:hAnsi="Arial" w:cs="Arial"/>
        </w:rPr>
      </w:pPr>
    </w:p>
    <w:p w14:paraId="151195D5" w14:textId="77777777" w:rsidR="00BD6320" w:rsidRPr="00B92499" w:rsidRDefault="00BD6320" w:rsidP="00BD6320">
      <w:pPr>
        <w:spacing w:before="100" w:beforeAutospacing="1" w:after="100" w:afterAutospacing="1" w:line="360" w:lineRule="auto"/>
        <w:contextualSpacing/>
        <w:jc w:val="both"/>
        <w:rPr>
          <w:rFonts w:ascii="Arial" w:hAnsi="Arial" w:cs="Arial"/>
        </w:rPr>
      </w:pPr>
      <w:r w:rsidRPr="00B92499">
        <w:rPr>
          <w:rFonts w:ascii="Arial" w:hAnsi="Arial" w:cs="Arial"/>
        </w:rPr>
        <w:t xml:space="preserve">El grado de cumplimiento de este ámbito, consistente en </w:t>
      </w:r>
      <w:r w:rsidR="004B6AFD" w:rsidRPr="00B92499">
        <w:rPr>
          <w:rFonts w:ascii="Arial" w:hAnsi="Arial" w:cs="Arial"/>
        </w:rPr>
        <w:t xml:space="preserve">87.20%, </w:t>
      </w:r>
      <w:r w:rsidRPr="00B92499">
        <w:rPr>
          <w:rFonts w:ascii="Arial" w:hAnsi="Arial" w:cs="Arial"/>
        </w:rPr>
        <w:t>está integrado por 8</w:t>
      </w:r>
      <w:r w:rsidR="004C101C" w:rsidRPr="00B92499">
        <w:rPr>
          <w:rFonts w:ascii="Arial" w:hAnsi="Arial" w:cs="Arial"/>
        </w:rPr>
        <w:t>3.22</w:t>
      </w:r>
      <w:r w:rsidRPr="00B92499">
        <w:rPr>
          <w:rFonts w:ascii="Arial" w:hAnsi="Arial" w:cs="Arial"/>
        </w:rPr>
        <w:t xml:space="preserve">% de información publicada y actualizada en atención a los principios mandatados en la Ley de Transparencia Local y un </w:t>
      </w:r>
      <w:r w:rsidR="004C101C" w:rsidRPr="00B92499">
        <w:rPr>
          <w:rFonts w:ascii="Arial" w:hAnsi="Arial" w:cs="Arial"/>
        </w:rPr>
        <w:t>3.98</w:t>
      </w:r>
      <w:r w:rsidRPr="00B92499">
        <w:rPr>
          <w:rFonts w:ascii="Arial" w:hAnsi="Arial" w:cs="Arial"/>
        </w:rPr>
        <w:t xml:space="preserve">% que corresponde a notas aclaratorias. </w:t>
      </w:r>
    </w:p>
    <w:p w14:paraId="5EADD00A" w14:textId="77777777" w:rsidR="008D44C3" w:rsidRPr="00B92499" w:rsidRDefault="008D44C3" w:rsidP="002E7D47">
      <w:pPr>
        <w:spacing w:before="100" w:beforeAutospacing="1" w:after="100" w:afterAutospacing="1" w:line="360" w:lineRule="auto"/>
        <w:contextualSpacing/>
        <w:jc w:val="both"/>
        <w:rPr>
          <w:rFonts w:ascii="Arial" w:hAnsi="Arial" w:cs="Arial"/>
        </w:rPr>
      </w:pPr>
    </w:p>
    <w:p w14:paraId="4D12EA4C" w14:textId="11801723" w:rsidR="000D3657" w:rsidRPr="00B92499" w:rsidRDefault="000D3657" w:rsidP="002E7D47">
      <w:pPr>
        <w:spacing w:before="100" w:beforeAutospacing="1" w:after="100" w:afterAutospacing="1" w:line="360" w:lineRule="auto"/>
        <w:contextualSpacing/>
        <w:jc w:val="both"/>
        <w:rPr>
          <w:rFonts w:ascii="Arial" w:hAnsi="Arial" w:cs="Arial"/>
          <w:u w:val="single"/>
        </w:rPr>
      </w:pPr>
      <w:r w:rsidRPr="00B92499">
        <w:rPr>
          <w:rFonts w:ascii="Arial" w:hAnsi="Arial" w:cs="Arial"/>
          <w:u w:val="single"/>
        </w:rPr>
        <w:t xml:space="preserve">Cumplimiento diferenciado por </w:t>
      </w:r>
      <w:r w:rsidR="008F67E4" w:rsidRPr="00B92499">
        <w:rPr>
          <w:rFonts w:ascii="Arial" w:hAnsi="Arial" w:cs="Arial"/>
          <w:u w:val="single"/>
        </w:rPr>
        <w:t>artículo</w:t>
      </w:r>
      <w:r w:rsidRPr="00B92499">
        <w:rPr>
          <w:rFonts w:ascii="Arial" w:hAnsi="Arial" w:cs="Arial"/>
          <w:u w:val="single"/>
        </w:rPr>
        <w:t xml:space="preserve">s </w:t>
      </w:r>
    </w:p>
    <w:p w14:paraId="69B33734" w14:textId="77777777" w:rsidR="008D44C3" w:rsidRPr="00B92499" w:rsidRDefault="008D44C3" w:rsidP="002E7D47">
      <w:pPr>
        <w:spacing w:before="100" w:beforeAutospacing="1" w:after="100" w:afterAutospacing="1" w:line="360" w:lineRule="auto"/>
        <w:contextualSpacing/>
        <w:jc w:val="both"/>
        <w:rPr>
          <w:rFonts w:ascii="Arial" w:hAnsi="Arial" w:cs="Arial"/>
          <w:u w:val="single"/>
        </w:rPr>
      </w:pPr>
    </w:p>
    <w:p w14:paraId="1B59BEAD" w14:textId="74E612CE" w:rsidR="000D3657" w:rsidRPr="00B92499" w:rsidRDefault="000D3657"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Con relación al tipo de obligaciones de transparencia, este </w:t>
      </w:r>
      <w:r w:rsidR="00A64325" w:rsidRPr="00B92499">
        <w:rPr>
          <w:rFonts w:ascii="Arial" w:hAnsi="Arial" w:cs="Arial"/>
        </w:rPr>
        <w:t xml:space="preserve">ámbito </w:t>
      </w:r>
      <w:r w:rsidRPr="00B92499">
        <w:rPr>
          <w:rFonts w:ascii="Arial" w:hAnsi="Arial" w:cs="Arial"/>
        </w:rPr>
        <w:t xml:space="preserve">ha </w:t>
      </w:r>
      <w:r w:rsidR="004C101C" w:rsidRPr="00B92499">
        <w:rPr>
          <w:rFonts w:ascii="Arial" w:hAnsi="Arial" w:cs="Arial"/>
        </w:rPr>
        <w:t>cumplido</w:t>
      </w:r>
      <w:r w:rsidRPr="00B92499">
        <w:rPr>
          <w:rFonts w:ascii="Arial" w:hAnsi="Arial" w:cs="Arial"/>
        </w:rPr>
        <w:t xml:space="preserve"> parcialmente en la publicación y actualización de sus obligaciones comunes, específicas y disposiciones particulares; obteniendo en las</w:t>
      </w:r>
      <w:r w:rsidR="000D67A7" w:rsidRPr="00B92499">
        <w:rPr>
          <w:rFonts w:ascii="Arial" w:hAnsi="Arial" w:cs="Arial"/>
        </w:rPr>
        <w:t xml:space="preserve"> 3 </w:t>
      </w:r>
      <w:r w:rsidRPr="00B92499">
        <w:rPr>
          <w:rFonts w:ascii="Arial" w:hAnsi="Arial" w:cs="Arial"/>
        </w:rPr>
        <w:t xml:space="preserve">un promedio de cumplimiento entre el </w:t>
      </w:r>
      <w:r w:rsidR="004C101C" w:rsidRPr="00B92499">
        <w:rPr>
          <w:rFonts w:ascii="Arial" w:hAnsi="Arial" w:cs="Arial"/>
        </w:rPr>
        <w:t>84.32</w:t>
      </w:r>
      <w:r w:rsidRPr="00B92499">
        <w:rPr>
          <w:rFonts w:ascii="Arial" w:hAnsi="Arial" w:cs="Arial"/>
        </w:rPr>
        <w:t xml:space="preserve">% y </w:t>
      </w:r>
      <w:r w:rsidR="004C101C" w:rsidRPr="00B92499">
        <w:rPr>
          <w:rFonts w:ascii="Arial" w:hAnsi="Arial" w:cs="Arial"/>
        </w:rPr>
        <w:t>97.91</w:t>
      </w:r>
      <w:r w:rsidRPr="00B92499">
        <w:rPr>
          <w:rFonts w:ascii="Arial" w:hAnsi="Arial" w:cs="Arial"/>
        </w:rPr>
        <w:t>%.</w:t>
      </w:r>
    </w:p>
    <w:p w14:paraId="5CF4C531" w14:textId="77777777" w:rsidR="008D44C3" w:rsidRPr="00B92499" w:rsidRDefault="008D44C3" w:rsidP="002E7D47">
      <w:pPr>
        <w:spacing w:before="100" w:beforeAutospacing="1" w:after="100" w:afterAutospacing="1" w:line="360" w:lineRule="auto"/>
        <w:contextualSpacing/>
        <w:jc w:val="both"/>
        <w:rPr>
          <w:rFonts w:ascii="Arial" w:hAnsi="Arial" w:cs="Arial"/>
        </w:rPr>
      </w:pPr>
    </w:p>
    <w:p w14:paraId="353DDA8B" w14:textId="77777777" w:rsidR="000D3657" w:rsidRPr="00B92499" w:rsidRDefault="000D3657"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misma línea, </w:t>
      </w:r>
      <w:r w:rsidR="004C101C" w:rsidRPr="00B92499">
        <w:rPr>
          <w:rFonts w:ascii="Arial" w:hAnsi="Arial" w:cs="Arial"/>
        </w:rPr>
        <w:t>los artículos</w:t>
      </w:r>
      <w:r w:rsidRPr="00B92499">
        <w:rPr>
          <w:rFonts w:ascii="Arial" w:hAnsi="Arial" w:cs="Arial"/>
        </w:rPr>
        <w:t xml:space="preserve"> 14</w:t>
      </w:r>
      <w:r w:rsidR="004C101C" w:rsidRPr="00B92499">
        <w:rPr>
          <w:rFonts w:ascii="Arial" w:hAnsi="Arial" w:cs="Arial"/>
        </w:rPr>
        <w:t>6 y 147 tuvieron un ICP de 100%, logrando un cumplimiento total, el artículo 137 obtuvo un ICP de 99.60%, el artículo 145 alcanzó un ICP 93.75%, el 121 tuvo un ICP de 84.32% y el 138 obtuvo un ICP de 79.57%</w:t>
      </w:r>
      <w:r w:rsidR="002E7806" w:rsidRPr="00B92499">
        <w:rPr>
          <w:rFonts w:ascii="Arial" w:hAnsi="Arial" w:cs="Arial"/>
        </w:rPr>
        <w:t xml:space="preserve">; por lo que se sitúan en un cumplimiento parcial. </w:t>
      </w:r>
    </w:p>
    <w:p w14:paraId="20F5D5FF" w14:textId="7A044C37" w:rsidR="000D3657" w:rsidRPr="00B92499" w:rsidRDefault="000D3657" w:rsidP="009F64B5">
      <w:pPr>
        <w:pStyle w:val="Ttulo2"/>
        <w:numPr>
          <w:ilvl w:val="1"/>
          <w:numId w:val="19"/>
        </w:numPr>
        <w:contextualSpacing/>
        <w:jc w:val="both"/>
        <w:rPr>
          <w:rFonts w:ascii="Arial" w:hAnsi="Arial" w:cs="Arial"/>
          <w:b/>
          <w:color w:val="auto"/>
          <w:sz w:val="24"/>
          <w:szCs w:val="24"/>
        </w:rPr>
      </w:pPr>
      <w:bookmarkStart w:id="52" w:name="_Toc23253008"/>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121 y sus respectivas fracciones</w:t>
      </w:r>
      <w:bookmarkEnd w:id="52"/>
    </w:p>
    <w:p w14:paraId="121F66C4" w14:textId="50B9AC18" w:rsidR="000D3657" w:rsidRPr="00B92499" w:rsidRDefault="002E7806" w:rsidP="002E7D47">
      <w:pPr>
        <w:spacing w:before="100" w:beforeAutospacing="1" w:after="100" w:afterAutospacing="1" w:line="360" w:lineRule="auto"/>
        <w:contextualSpacing/>
        <w:jc w:val="both"/>
        <w:rPr>
          <w:rFonts w:ascii="Arial" w:hAnsi="Arial" w:cs="Arial"/>
        </w:rPr>
      </w:pPr>
      <w:r w:rsidRPr="00B92499">
        <w:rPr>
          <w:rFonts w:ascii="Arial" w:hAnsi="Arial" w:cs="Arial"/>
        </w:rPr>
        <w:t>El sindicato obtuvo un ICP en este artículo de 84.32%</w:t>
      </w:r>
      <w:r w:rsidR="000D3657" w:rsidRPr="00B92499">
        <w:rPr>
          <w:rFonts w:ascii="Arial" w:hAnsi="Arial" w:cs="Arial"/>
        </w:rPr>
        <w:t>; por lo que se encuentra dentro del área de cumplimiento parcial. Lo anterior se debió a que</w:t>
      </w:r>
      <w:r w:rsidRPr="00B92499">
        <w:rPr>
          <w:rFonts w:ascii="Arial" w:hAnsi="Arial" w:cs="Arial"/>
        </w:rPr>
        <w:t xml:space="preserve"> de las </w:t>
      </w:r>
      <w:r w:rsidR="000B2F47" w:rsidRPr="00B92499">
        <w:rPr>
          <w:rFonts w:ascii="Arial" w:hAnsi="Arial" w:cs="Arial"/>
        </w:rPr>
        <w:t>18</w:t>
      </w:r>
      <w:r w:rsidRPr="00B92499">
        <w:rPr>
          <w:rFonts w:ascii="Arial" w:hAnsi="Arial" w:cs="Arial"/>
        </w:rPr>
        <w:t xml:space="preserve"> fracciones que les son aplicables, en 1</w:t>
      </w:r>
      <w:r w:rsidR="000B2F47" w:rsidRPr="00B92499">
        <w:rPr>
          <w:rFonts w:ascii="Arial" w:hAnsi="Arial" w:cs="Arial"/>
        </w:rPr>
        <w:t>2</w:t>
      </w:r>
      <w:r w:rsidRPr="00B92499">
        <w:rPr>
          <w:rFonts w:ascii="Arial" w:hAnsi="Arial" w:cs="Arial"/>
        </w:rPr>
        <w:t xml:space="preserve"> alcanzó un cumplimiento total de 100%, en</w:t>
      </w:r>
      <w:r w:rsidR="000D67A7" w:rsidRPr="00B92499">
        <w:rPr>
          <w:rFonts w:ascii="Arial" w:hAnsi="Arial" w:cs="Arial"/>
        </w:rPr>
        <w:t xml:space="preserve"> 4 </w:t>
      </w:r>
      <w:r w:rsidR="00311035" w:rsidRPr="00B92499">
        <w:rPr>
          <w:rFonts w:ascii="Arial" w:hAnsi="Arial" w:cs="Arial"/>
        </w:rPr>
        <w:t xml:space="preserve">fracciones </w:t>
      </w:r>
      <w:r w:rsidRPr="00B92499">
        <w:rPr>
          <w:rFonts w:ascii="Arial" w:hAnsi="Arial" w:cs="Arial"/>
        </w:rPr>
        <w:t>un cumplimiento parcial comprendido entre el 66.67% y 93.75%</w:t>
      </w:r>
      <w:r w:rsidR="00311035" w:rsidRPr="00B92499">
        <w:rPr>
          <w:rFonts w:ascii="Arial" w:hAnsi="Arial" w:cs="Arial"/>
        </w:rPr>
        <w:t xml:space="preserve"> y en </w:t>
      </w:r>
      <w:r w:rsidR="000D67A7" w:rsidRPr="00B92499">
        <w:rPr>
          <w:rFonts w:ascii="Arial" w:hAnsi="Arial" w:cs="Arial"/>
        </w:rPr>
        <w:t>2</w:t>
      </w:r>
      <w:r w:rsidR="00311035" w:rsidRPr="00B92499">
        <w:rPr>
          <w:rFonts w:ascii="Arial" w:hAnsi="Arial" w:cs="Arial"/>
        </w:rPr>
        <w:t xml:space="preserve"> fracciones alcanzó un incumplimiento parcial comprendido entre el </w:t>
      </w:r>
      <w:r w:rsidR="000B2F47" w:rsidRPr="00B92499">
        <w:rPr>
          <w:rFonts w:ascii="Arial" w:hAnsi="Arial" w:cs="Arial"/>
        </w:rPr>
        <w:t>33.33</w:t>
      </w:r>
      <w:r w:rsidR="00311035" w:rsidRPr="00B92499">
        <w:rPr>
          <w:rFonts w:ascii="Arial" w:hAnsi="Arial" w:cs="Arial"/>
        </w:rPr>
        <w:t xml:space="preserve">% y el </w:t>
      </w:r>
      <w:r w:rsidR="000B2F47" w:rsidRPr="00B92499">
        <w:rPr>
          <w:rFonts w:ascii="Arial" w:hAnsi="Arial" w:cs="Arial"/>
        </w:rPr>
        <w:t>50.00</w:t>
      </w:r>
      <w:r w:rsidR="00311035" w:rsidRPr="00B92499">
        <w:rPr>
          <w:rFonts w:ascii="Arial" w:hAnsi="Arial" w:cs="Arial"/>
        </w:rPr>
        <w:t xml:space="preserve">%. Lo anterior, se debió a la falta de publicación y actualización de la información en tales fracciones. </w:t>
      </w:r>
    </w:p>
    <w:p w14:paraId="59B6197C" w14:textId="77777777" w:rsidR="008D44C3" w:rsidRPr="00B92499" w:rsidRDefault="008D44C3" w:rsidP="002E7D47">
      <w:pPr>
        <w:spacing w:before="100" w:beforeAutospacing="1" w:after="100" w:afterAutospacing="1" w:line="360" w:lineRule="auto"/>
        <w:contextualSpacing/>
        <w:jc w:val="both"/>
        <w:rPr>
          <w:rFonts w:ascii="Arial" w:hAnsi="Arial" w:cs="Arial"/>
        </w:rPr>
      </w:pPr>
    </w:p>
    <w:p w14:paraId="39FC914C" w14:textId="28A56066" w:rsidR="008D44C3" w:rsidRPr="00B92499" w:rsidRDefault="000D3657"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de las </w:t>
      </w:r>
      <w:r w:rsidR="000B2F47" w:rsidRPr="00B92499">
        <w:rPr>
          <w:rFonts w:ascii="Arial" w:hAnsi="Arial" w:cs="Arial"/>
        </w:rPr>
        <w:t>18</w:t>
      </w:r>
      <w:r w:rsidRPr="00B92499">
        <w:rPr>
          <w:rFonts w:ascii="Arial" w:hAnsi="Arial" w:cs="Arial"/>
        </w:rPr>
        <w:t xml:space="preserve"> fracciones que le son aplicables</w:t>
      </w:r>
      <w:r w:rsidR="00735992" w:rsidRPr="00B92499">
        <w:rPr>
          <w:rFonts w:ascii="Arial" w:hAnsi="Arial" w:cs="Arial"/>
        </w:rPr>
        <w:t>,</w:t>
      </w:r>
      <w:r w:rsidRPr="00B92499">
        <w:rPr>
          <w:rFonts w:ascii="Arial" w:hAnsi="Arial" w:cs="Arial"/>
        </w:rPr>
        <w:t xml:space="preserve"> las</w:t>
      </w:r>
      <w:r w:rsidR="000D67A7" w:rsidRPr="00B92499">
        <w:rPr>
          <w:rFonts w:ascii="Arial" w:hAnsi="Arial" w:cs="Arial"/>
        </w:rPr>
        <w:t xml:space="preserve"> 3 </w:t>
      </w:r>
      <w:r w:rsidRPr="00B92499">
        <w:rPr>
          <w:rFonts w:ascii="Arial" w:hAnsi="Arial" w:cs="Arial"/>
        </w:rPr>
        <w:t xml:space="preserve">que tienen mayor área de oportunidad son las siguientes: </w:t>
      </w:r>
    </w:p>
    <w:p w14:paraId="295EF5FD" w14:textId="30C4F939" w:rsidR="008D44C3" w:rsidRPr="00B92499" w:rsidRDefault="000D3657" w:rsidP="009F64B5">
      <w:pPr>
        <w:pStyle w:val="Prrafodelista"/>
        <w:numPr>
          <w:ilvl w:val="0"/>
          <w:numId w:val="2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lastRenderedPageBreak/>
        <w:t xml:space="preserve">Fracción </w:t>
      </w:r>
      <w:r w:rsidR="000B2F47" w:rsidRPr="00B92499">
        <w:rPr>
          <w:rFonts w:ascii="Arial" w:hAnsi="Arial" w:cs="Arial"/>
          <w:sz w:val="24"/>
          <w:szCs w:val="24"/>
          <w:lang w:val="es-ES_tradnl"/>
        </w:rPr>
        <w:t>XLIII</w:t>
      </w:r>
      <w:r w:rsidRPr="00B92499">
        <w:rPr>
          <w:rFonts w:ascii="Arial" w:hAnsi="Arial" w:cs="Arial"/>
          <w:sz w:val="24"/>
          <w:szCs w:val="24"/>
          <w:lang w:val="es-ES_tradnl"/>
        </w:rPr>
        <w:t xml:space="preserve">, con un ICP de </w:t>
      </w:r>
      <w:r w:rsidR="000B2F47" w:rsidRPr="00B92499">
        <w:rPr>
          <w:rFonts w:ascii="Arial" w:hAnsi="Arial" w:cs="Arial"/>
          <w:sz w:val="24"/>
          <w:szCs w:val="24"/>
          <w:lang w:val="es-ES_tradnl"/>
        </w:rPr>
        <w:t>33.33</w:t>
      </w:r>
      <w:r w:rsidRPr="00B92499">
        <w:rPr>
          <w:rFonts w:ascii="Arial" w:hAnsi="Arial" w:cs="Arial"/>
          <w:sz w:val="24"/>
          <w:szCs w:val="24"/>
          <w:lang w:val="es-ES_tradnl"/>
        </w:rPr>
        <w:t xml:space="preserve">% en la cual se solicita </w:t>
      </w:r>
      <w:r w:rsidR="000B2F47" w:rsidRPr="00B92499">
        <w:rPr>
          <w:rFonts w:ascii="Arial" w:hAnsi="Arial" w:cs="Arial"/>
          <w:sz w:val="24"/>
          <w:szCs w:val="24"/>
          <w:lang w:val="es-ES_tradnl"/>
        </w:rPr>
        <w:t>publicar las actas y resoluciones del comité de transparencia</w:t>
      </w:r>
      <w:r w:rsidR="00311035"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00311035" w:rsidRPr="00B92499">
        <w:rPr>
          <w:rFonts w:ascii="Arial" w:hAnsi="Arial" w:cs="Arial"/>
          <w:sz w:val="24"/>
          <w:szCs w:val="24"/>
          <w:lang w:val="es-ES_tradnl"/>
        </w:rPr>
        <w:t xml:space="preserve"> consiste en</w:t>
      </w:r>
      <w:r w:rsidR="001B2F09" w:rsidRPr="00B92499">
        <w:rPr>
          <w:rFonts w:ascii="Arial" w:hAnsi="Arial" w:cs="Arial"/>
          <w:sz w:val="24"/>
          <w:szCs w:val="24"/>
          <w:lang w:val="es-ES_tradnl"/>
        </w:rPr>
        <w:t xml:space="preserve"> que algunos de los hipervínculos a la información del primer semestre se encuentran rotos y no se conserva la información concerniente al ejercicio anterior. </w:t>
      </w:r>
    </w:p>
    <w:p w14:paraId="3B0FBB89" w14:textId="77777777" w:rsidR="001B2F09" w:rsidRPr="00B92499" w:rsidRDefault="001B2F09" w:rsidP="001B2F09">
      <w:pPr>
        <w:pStyle w:val="Prrafodelista"/>
        <w:spacing w:before="100" w:beforeAutospacing="1" w:after="100" w:afterAutospacing="1" w:line="360" w:lineRule="auto"/>
        <w:jc w:val="both"/>
        <w:rPr>
          <w:rFonts w:ascii="Arial" w:hAnsi="Arial" w:cs="Arial"/>
          <w:sz w:val="24"/>
          <w:szCs w:val="24"/>
          <w:lang w:val="es-ES_tradnl"/>
        </w:rPr>
      </w:pPr>
    </w:p>
    <w:p w14:paraId="659A3B54" w14:textId="44653471" w:rsidR="001B2F09" w:rsidRPr="00B92499" w:rsidRDefault="000D3657" w:rsidP="009F64B5">
      <w:pPr>
        <w:pStyle w:val="Prrafodelista"/>
        <w:numPr>
          <w:ilvl w:val="0"/>
          <w:numId w:val="2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0B2F47" w:rsidRPr="00B92499">
        <w:rPr>
          <w:rFonts w:ascii="Arial" w:hAnsi="Arial" w:cs="Arial"/>
          <w:sz w:val="24"/>
          <w:szCs w:val="24"/>
          <w:lang w:val="es-ES_tradnl"/>
        </w:rPr>
        <w:t>XXXVIII</w:t>
      </w:r>
      <w:r w:rsidRPr="00B92499">
        <w:rPr>
          <w:rFonts w:ascii="Arial" w:hAnsi="Arial" w:cs="Arial"/>
          <w:sz w:val="24"/>
          <w:szCs w:val="24"/>
          <w:lang w:val="es-ES_tradnl"/>
        </w:rPr>
        <w:t xml:space="preserve">, con un ICP de </w:t>
      </w:r>
      <w:r w:rsidR="000B2F47" w:rsidRPr="00B92499">
        <w:rPr>
          <w:rFonts w:ascii="Arial" w:hAnsi="Arial" w:cs="Arial"/>
          <w:sz w:val="24"/>
          <w:szCs w:val="24"/>
          <w:lang w:val="es-ES_tradnl"/>
        </w:rPr>
        <w:t>50.00</w:t>
      </w:r>
      <w:r w:rsidRPr="00B92499">
        <w:rPr>
          <w:rFonts w:ascii="Arial" w:hAnsi="Arial" w:cs="Arial"/>
          <w:sz w:val="24"/>
          <w:szCs w:val="24"/>
          <w:lang w:val="es-ES_tradnl"/>
        </w:rPr>
        <w:t>% que hace referencia</w:t>
      </w:r>
      <w:r w:rsidR="00311035" w:rsidRPr="00B92499">
        <w:rPr>
          <w:rFonts w:ascii="Arial" w:hAnsi="Arial" w:cs="Arial"/>
          <w:sz w:val="24"/>
          <w:szCs w:val="24"/>
          <w:lang w:val="es-ES_tradnl"/>
        </w:rPr>
        <w:t xml:space="preserve"> a la publicación </w:t>
      </w:r>
      <w:r w:rsidR="000B2F47" w:rsidRPr="00B92499">
        <w:rPr>
          <w:rFonts w:ascii="Arial" w:hAnsi="Arial" w:cs="Arial"/>
          <w:sz w:val="24"/>
          <w:szCs w:val="24"/>
          <w:lang w:val="es-ES_tradnl"/>
        </w:rPr>
        <w:t xml:space="preserve">de la relación del número de recomendaciones emitidas por el Instituto al </w:t>
      </w:r>
      <w:r w:rsidR="008710F6" w:rsidRPr="00B92499">
        <w:rPr>
          <w:rFonts w:ascii="Arial" w:hAnsi="Arial" w:cs="Arial"/>
          <w:sz w:val="24"/>
          <w:szCs w:val="24"/>
          <w:lang w:val="es-ES_tradnl"/>
        </w:rPr>
        <w:t>sujeto obligado</w:t>
      </w:r>
      <w:r w:rsidR="00311035" w:rsidRPr="00B92499">
        <w:rPr>
          <w:rFonts w:ascii="Arial" w:hAnsi="Arial" w:cs="Arial"/>
          <w:sz w:val="24"/>
          <w:szCs w:val="24"/>
          <w:lang w:val="es-ES_tradnl"/>
        </w:rPr>
        <w:t>.</w:t>
      </w:r>
      <w:r w:rsidRPr="00B92499">
        <w:rPr>
          <w:rFonts w:ascii="Arial" w:hAnsi="Arial" w:cs="Arial"/>
          <w:sz w:val="24"/>
          <w:szCs w:val="24"/>
          <w:lang w:val="es-ES_tradnl"/>
        </w:rPr>
        <w:t xml:space="preserve"> </w:t>
      </w:r>
      <w:r w:rsidR="000B2F47" w:rsidRPr="00B92499">
        <w:rPr>
          <w:rFonts w:ascii="Arial" w:hAnsi="Arial" w:cs="Arial"/>
          <w:sz w:val="24"/>
          <w:szCs w:val="24"/>
          <w:lang w:val="es-ES_tradnl"/>
        </w:rPr>
        <w:t xml:space="preserve">El área de oportunidad del </w:t>
      </w:r>
      <w:r w:rsidR="008710F6" w:rsidRPr="00B92499">
        <w:rPr>
          <w:rFonts w:ascii="Arial" w:hAnsi="Arial" w:cs="Arial"/>
          <w:sz w:val="24"/>
          <w:szCs w:val="24"/>
          <w:lang w:val="es-ES_tradnl"/>
        </w:rPr>
        <w:t>sujeto obligado</w:t>
      </w:r>
      <w:r w:rsidR="000B2F47" w:rsidRPr="00B92499">
        <w:rPr>
          <w:rFonts w:ascii="Arial" w:hAnsi="Arial" w:cs="Arial"/>
          <w:sz w:val="24"/>
          <w:szCs w:val="24"/>
          <w:lang w:val="es-ES_tradnl"/>
        </w:rPr>
        <w:t xml:space="preserve"> consiste en</w:t>
      </w:r>
      <w:r w:rsidR="001B2F09" w:rsidRPr="00B92499">
        <w:rPr>
          <w:rFonts w:ascii="Arial" w:hAnsi="Arial" w:cs="Arial"/>
          <w:sz w:val="24"/>
          <w:szCs w:val="24"/>
          <w:lang w:val="es-ES_tradnl"/>
        </w:rPr>
        <w:t xml:space="preserve"> realizar la publicación y actualización de la información en lo que respecta al ejercicio 2019 y conservar la del ejercicio 2018. </w:t>
      </w:r>
    </w:p>
    <w:p w14:paraId="68E2E712" w14:textId="77777777" w:rsidR="001B2F09" w:rsidRPr="00B92499" w:rsidRDefault="001B2F09" w:rsidP="001B2F09">
      <w:pPr>
        <w:pStyle w:val="Prrafodelista"/>
        <w:rPr>
          <w:rFonts w:ascii="Arial" w:hAnsi="Arial" w:cs="Arial"/>
          <w:sz w:val="24"/>
          <w:szCs w:val="24"/>
          <w:lang w:val="es-ES_tradnl"/>
        </w:rPr>
      </w:pPr>
    </w:p>
    <w:p w14:paraId="63C78A68" w14:textId="77777777" w:rsidR="001B2F09" w:rsidRPr="00B92499" w:rsidRDefault="001B2F09" w:rsidP="001B2F09">
      <w:pPr>
        <w:pStyle w:val="Prrafodelista"/>
        <w:spacing w:before="100" w:beforeAutospacing="1" w:after="100" w:afterAutospacing="1" w:line="360" w:lineRule="auto"/>
        <w:jc w:val="both"/>
        <w:rPr>
          <w:rFonts w:ascii="Arial" w:hAnsi="Arial" w:cs="Arial"/>
          <w:sz w:val="24"/>
          <w:szCs w:val="24"/>
          <w:lang w:val="es-ES_tradnl"/>
        </w:rPr>
      </w:pPr>
    </w:p>
    <w:p w14:paraId="7915B50F" w14:textId="162048CC" w:rsidR="008D44C3" w:rsidRPr="00B92499" w:rsidRDefault="000D3657" w:rsidP="009F64B5">
      <w:pPr>
        <w:pStyle w:val="Prrafodelista"/>
        <w:numPr>
          <w:ilvl w:val="0"/>
          <w:numId w:val="27"/>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0B2F47" w:rsidRPr="00B92499">
        <w:rPr>
          <w:rFonts w:ascii="Arial" w:hAnsi="Arial" w:cs="Arial"/>
          <w:sz w:val="24"/>
          <w:szCs w:val="24"/>
          <w:lang w:val="es-ES_tradnl"/>
        </w:rPr>
        <w:t>XXX</w:t>
      </w:r>
      <w:r w:rsidR="00D118E9" w:rsidRPr="00B92499">
        <w:rPr>
          <w:rFonts w:ascii="Arial" w:hAnsi="Arial" w:cs="Arial"/>
          <w:sz w:val="24"/>
          <w:szCs w:val="24"/>
          <w:lang w:val="es-ES_tradnl"/>
        </w:rPr>
        <w:t>VI</w:t>
      </w:r>
      <w:r w:rsidRPr="00B92499">
        <w:rPr>
          <w:rFonts w:ascii="Arial" w:hAnsi="Arial" w:cs="Arial"/>
          <w:sz w:val="24"/>
          <w:szCs w:val="24"/>
          <w:lang w:val="es-ES_tradnl"/>
        </w:rPr>
        <w:t xml:space="preserve">, con un ICP de </w:t>
      </w:r>
      <w:r w:rsidR="001B2F09" w:rsidRPr="00B92499">
        <w:rPr>
          <w:rFonts w:ascii="Arial" w:hAnsi="Arial" w:cs="Arial"/>
          <w:sz w:val="24"/>
          <w:szCs w:val="24"/>
          <w:lang w:val="es-ES_tradnl"/>
        </w:rPr>
        <w:t>66.67</w:t>
      </w:r>
      <w:r w:rsidRPr="00B92499">
        <w:rPr>
          <w:rFonts w:ascii="Arial" w:hAnsi="Arial" w:cs="Arial"/>
          <w:sz w:val="24"/>
          <w:szCs w:val="24"/>
          <w:lang w:val="es-ES_tradnl"/>
        </w:rPr>
        <w:t xml:space="preserve">%, que establece la publicación del </w:t>
      </w:r>
      <w:r w:rsidR="00D118E9" w:rsidRPr="00B92499">
        <w:rPr>
          <w:rFonts w:ascii="Arial" w:hAnsi="Arial" w:cs="Arial"/>
          <w:sz w:val="24"/>
          <w:szCs w:val="24"/>
          <w:lang w:val="es-ES_tradnl"/>
        </w:rPr>
        <w:t>inventario de bienes muebles</w:t>
      </w:r>
      <w:r w:rsidRPr="00B92499">
        <w:rPr>
          <w:rFonts w:ascii="Arial" w:hAnsi="Arial" w:cs="Arial"/>
          <w:sz w:val="24"/>
          <w:szCs w:val="24"/>
          <w:lang w:val="es-ES_tradnl"/>
        </w:rPr>
        <w:t>.</w:t>
      </w:r>
      <w:r w:rsidR="00D118E9" w:rsidRPr="00B92499">
        <w:rPr>
          <w:rFonts w:ascii="Arial" w:hAnsi="Arial" w:cs="Arial"/>
          <w:sz w:val="24"/>
          <w:szCs w:val="24"/>
          <w:lang w:val="es-ES_tradnl"/>
        </w:rPr>
        <w:t xml:space="preserve"> El área de oportunidad del </w:t>
      </w:r>
      <w:r w:rsidR="008710F6" w:rsidRPr="00B92499">
        <w:rPr>
          <w:rFonts w:ascii="Arial" w:hAnsi="Arial" w:cs="Arial"/>
          <w:sz w:val="24"/>
          <w:szCs w:val="24"/>
          <w:lang w:val="es-ES_tradnl"/>
        </w:rPr>
        <w:t>sujeto obligado</w:t>
      </w:r>
      <w:r w:rsidR="00D118E9" w:rsidRPr="00B92499">
        <w:rPr>
          <w:rFonts w:ascii="Arial" w:hAnsi="Arial" w:cs="Arial"/>
          <w:sz w:val="24"/>
          <w:szCs w:val="24"/>
          <w:lang w:val="es-ES_tradnl"/>
        </w:rPr>
        <w:t xml:space="preserve"> consiste en</w:t>
      </w:r>
      <w:r w:rsidR="001B2F09" w:rsidRPr="00B92499">
        <w:rPr>
          <w:rFonts w:ascii="Arial" w:hAnsi="Arial" w:cs="Arial"/>
          <w:sz w:val="24"/>
          <w:szCs w:val="24"/>
          <w:lang w:val="es-ES_tradnl"/>
        </w:rPr>
        <w:t xml:space="preserve"> publicar la información mandata en la fracción y en caso de no generar la misma, fundar y motivar la no generación de la información a través de una nota. </w:t>
      </w:r>
    </w:p>
    <w:p w14:paraId="50CFF543" w14:textId="77777777" w:rsidR="004077DD" w:rsidRPr="00B92499" w:rsidRDefault="00D118E9" w:rsidP="00D118E9">
      <w:pPr>
        <w:spacing w:before="100" w:beforeAutospacing="1" w:after="100" w:afterAutospacing="1" w:line="360" w:lineRule="auto"/>
        <w:contextualSpacing/>
        <w:jc w:val="both"/>
        <w:rPr>
          <w:rFonts w:ascii="Arial" w:hAnsi="Arial" w:cs="Arial"/>
        </w:rPr>
      </w:pPr>
      <w:r w:rsidRPr="00B92499">
        <w:rPr>
          <w:rFonts w:ascii="Arial" w:hAnsi="Arial" w:cs="Arial"/>
        </w:rPr>
        <w:t xml:space="preserve">De igual forma, </w:t>
      </w:r>
      <w:r w:rsidR="00615A43" w:rsidRPr="00B92499">
        <w:rPr>
          <w:rFonts w:ascii="Arial" w:hAnsi="Arial" w:cs="Arial"/>
        </w:rPr>
        <w:t>en 12 fracciones del artículo 121, este sindicato alcanzó un ICP de 100%.</w:t>
      </w:r>
    </w:p>
    <w:p w14:paraId="5500EC12" w14:textId="77777777" w:rsidR="004077DD" w:rsidRPr="00B92499" w:rsidRDefault="004077DD" w:rsidP="00D118E9">
      <w:pPr>
        <w:spacing w:before="100" w:beforeAutospacing="1" w:after="100" w:afterAutospacing="1" w:line="360" w:lineRule="auto"/>
        <w:contextualSpacing/>
        <w:jc w:val="both"/>
        <w:rPr>
          <w:rFonts w:ascii="Arial" w:hAnsi="Arial" w:cs="Arial"/>
        </w:rPr>
      </w:pPr>
    </w:p>
    <w:p w14:paraId="1F6D5B7D" w14:textId="5BA1858A" w:rsidR="004077DD" w:rsidRPr="00B92499" w:rsidRDefault="004077DD" w:rsidP="004077DD">
      <w:pPr>
        <w:spacing w:before="100" w:beforeAutospacing="1" w:after="100" w:afterAutospacing="1" w:line="360" w:lineRule="auto"/>
        <w:jc w:val="both"/>
        <w:rPr>
          <w:rFonts w:ascii="Arial" w:hAnsi="Arial" w:cs="Arial"/>
        </w:rPr>
      </w:pPr>
      <w:r w:rsidRPr="00B92499">
        <w:rPr>
          <w:rFonts w:ascii="Arial" w:hAnsi="Arial" w:cs="Arial"/>
        </w:rPr>
        <w:t xml:space="preserve">Con el objetivo de mostrar </w:t>
      </w:r>
      <w:r w:rsidR="00735992" w:rsidRPr="00B92499">
        <w:rPr>
          <w:rFonts w:ascii="Arial" w:hAnsi="Arial" w:cs="Arial"/>
        </w:rPr>
        <w:t>con mayor detalle el</w:t>
      </w:r>
      <w:r w:rsidRPr="00B92499">
        <w:rPr>
          <w:rFonts w:ascii="Arial" w:hAnsi="Arial" w:cs="Arial"/>
        </w:rPr>
        <w:t xml:space="preserve"> ICP de cada fracción del artículo 121</w:t>
      </w:r>
      <w:r w:rsidR="00490622" w:rsidRPr="00B92499">
        <w:rPr>
          <w:rFonts w:ascii="Arial" w:hAnsi="Arial" w:cs="Arial"/>
        </w:rPr>
        <w:t xml:space="preserve">, </w:t>
      </w:r>
      <w:r w:rsidR="00735992" w:rsidRPr="00B92499">
        <w:rPr>
          <w:rFonts w:ascii="Arial" w:hAnsi="Arial" w:cs="Arial"/>
        </w:rPr>
        <w:t>es presentada</w:t>
      </w:r>
      <w:r w:rsidRPr="00B92499">
        <w:rPr>
          <w:rFonts w:ascii="Arial" w:hAnsi="Arial" w:cs="Arial"/>
        </w:rPr>
        <w:t xml:space="preserve"> la siguiente tabla</w:t>
      </w:r>
      <w:r w:rsidR="00735992" w:rsidRPr="00B92499">
        <w:rPr>
          <w:rFonts w:ascii="Arial" w:hAnsi="Arial" w:cs="Arial"/>
        </w:rPr>
        <w:t xml:space="preserve"> </w:t>
      </w:r>
      <w:r w:rsidRPr="00B92499">
        <w:rPr>
          <w:rFonts w:ascii="Arial" w:hAnsi="Arial" w:cs="Arial"/>
        </w:rPr>
        <w:t>ordenad</w:t>
      </w:r>
      <w:r w:rsidR="00735992" w:rsidRPr="00B92499">
        <w:rPr>
          <w:rFonts w:ascii="Arial" w:hAnsi="Arial" w:cs="Arial"/>
        </w:rPr>
        <w:t xml:space="preserve">a </w:t>
      </w:r>
      <w:r w:rsidRPr="00B92499">
        <w:rPr>
          <w:rFonts w:ascii="Arial" w:hAnsi="Arial" w:cs="Arial"/>
        </w:rPr>
        <w:t>de forma descendent</w:t>
      </w:r>
      <w:r w:rsidR="00735992" w:rsidRPr="00B92499">
        <w:rPr>
          <w:rFonts w:ascii="Arial" w:hAnsi="Arial" w:cs="Arial"/>
        </w:rPr>
        <w:t>e</w:t>
      </w:r>
      <w:r w:rsidRPr="00B92499">
        <w:rPr>
          <w:rFonts w:ascii="Arial" w:hAnsi="Arial" w:cs="Arial"/>
        </w:rPr>
        <w:t xml:space="preserve">. </w:t>
      </w:r>
    </w:p>
    <w:tbl>
      <w:tblPr>
        <w:tblW w:w="8927" w:type="dxa"/>
        <w:tblCellMar>
          <w:left w:w="70" w:type="dxa"/>
          <w:right w:w="70" w:type="dxa"/>
        </w:tblCellMar>
        <w:tblLook w:val="04A0" w:firstRow="1" w:lastRow="0" w:firstColumn="1" w:lastColumn="0" w:noHBand="0" w:noVBand="1"/>
      </w:tblPr>
      <w:tblGrid>
        <w:gridCol w:w="974"/>
        <w:gridCol w:w="7218"/>
        <w:gridCol w:w="735"/>
      </w:tblGrid>
      <w:tr w:rsidR="004077DD" w:rsidRPr="00B92499" w14:paraId="6E947827" w14:textId="77777777" w:rsidTr="004077DD">
        <w:trPr>
          <w:trHeight w:val="20"/>
          <w:tblHeader/>
        </w:trPr>
        <w:tc>
          <w:tcPr>
            <w:tcW w:w="8927"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15B81EF" w14:textId="4F3BE4C2" w:rsidR="004077DD" w:rsidRPr="00B92499" w:rsidRDefault="004077DD" w:rsidP="00A027DB">
            <w:pPr>
              <w:jc w:val="center"/>
              <w:rPr>
                <w:rFonts w:ascii="Arial" w:hAnsi="Arial" w:cs="Arial"/>
                <w:b/>
                <w:bCs/>
                <w:color w:val="000000"/>
                <w:sz w:val="20"/>
                <w:szCs w:val="20"/>
              </w:rPr>
            </w:pPr>
            <w:r w:rsidRPr="00B92499">
              <w:rPr>
                <w:rFonts w:ascii="Arial" w:hAnsi="Arial" w:cs="Arial"/>
                <w:b/>
                <w:bCs/>
                <w:color w:val="000000"/>
                <w:sz w:val="20"/>
                <w:szCs w:val="20"/>
              </w:rPr>
              <w:t xml:space="preserve">Artículo 121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comunes</w:t>
            </w:r>
          </w:p>
        </w:tc>
      </w:tr>
      <w:tr w:rsidR="004077DD" w:rsidRPr="00B92499" w14:paraId="76A4BAFE" w14:textId="77777777" w:rsidTr="004077DD">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50D25133" w14:textId="77777777" w:rsidR="004077DD" w:rsidRPr="00B92499" w:rsidRDefault="004077DD" w:rsidP="00A027DB">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2F81F40F" w14:textId="77777777" w:rsidR="004077DD" w:rsidRPr="00B92499" w:rsidRDefault="004077DD" w:rsidP="00A027DB">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823" w:type="dxa"/>
            <w:tcBorders>
              <w:top w:val="nil"/>
              <w:left w:val="nil"/>
              <w:bottom w:val="single" w:sz="4" w:space="0" w:color="auto"/>
              <w:right w:val="single" w:sz="4" w:space="0" w:color="auto"/>
            </w:tcBorders>
            <w:shd w:val="clear" w:color="auto" w:fill="00B0F0"/>
            <w:vAlign w:val="center"/>
            <w:hideMark/>
          </w:tcPr>
          <w:p w14:paraId="277CB7D2" w14:textId="77777777" w:rsidR="004077DD" w:rsidRPr="00B92499" w:rsidRDefault="004077DD" w:rsidP="00A027DB">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4077DD" w:rsidRPr="00B92499" w14:paraId="53FC7657"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69BF5"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1AB9DF3F"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Estructura orgánica.</w:t>
            </w:r>
          </w:p>
        </w:tc>
        <w:tc>
          <w:tcPr>
            <w:tcW w:w="823" w:type="dxa"/>
            <w:tcBorders>
              <w:top w:val="nil"/>
              <w:left w:val="nil"/>
              <w:bottom w:val="single" w:sz="4" w:space="0" w:color="auto"/>
              <w:right w:val="single" w:sz="4" w:space="0" w:color="auto"/>
            </w:tcBorders>
            <w:shd w:val="clear" w:color="auto" w:fill="auto"/>
            <w:vAlign w:val="center"/>
            <w:hideMark/>
          </w:tcPr>
          <w:p w14:paraId="67B6342C" w14:textId="4B1B4518"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606B631A"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54D933"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2D1D3B17"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Facultades de cada área (dirección).</w:t>
            </w:r>
          </w:p>
        </w:tc>
        <w:tc>
          <w:tcPr>
            <w:tcW w:w="823" w:type="dxa"/>
            <w:tcBorders>
              <w:top w:val="nil"/>
              <w:left w:val="nil"/>
              <w:bottom w:val="single" w:sz="4" w:space="0" w:color="auto"/>
              <w:right w:val="single" w:sz="4" w:space="0" w:color="auto"/>
            </w:tcBorders>
            <w:shd w:val="clear" w:color="auto" w:fill="auto"/>
            <w:vAlign w:val="center"/>
            <w:hideMark/>
          </w:tcPr>
          <w:p w14:paraId="5570B8B9" w14:textId="74430B74"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58FF5A61"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C5CABE"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XIV</w:t>
            </w:r>
          </w:p>
        </w:tc>
        <w:tc>
          <w:tcPr>
            <w:tcW w:w="0" w:type="auto"/>
            <w:tcBorders>
              <w:top w:val="nil"/>
              <w:left w:val="nil"/>
              <w:bottom w:val="single" w:sz="4" w:space="0" w:color="auto"/>
              <w:right w:val="single" w:sz="4" w:space="0" w:color="auto"/>
            </w:tcBorders>
            <w:shd w:val="clear" w:color="auto" w:fill="auto"/>
            <w:vAlign w:val="center"/>
            <w:hideMark/>
          </w:tcPr>
          <w:p w14:paraId="48FF9CE3"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Domicilio de la Unidad de Transparencia.</w:t>
            </w:r>
          </w:p>
        </w:tc>
        <w:tc>
          <w:tcPr>
            <w:tcW w:w="823" w:type="dxa"/>
            <w:tcBorders>
              <w:top w:val="nil"/>
              <w:left w:val="nil"/>
              <w:bottom w:val="single" w:sz="4" w:space="0" w:color="auto"/>
              <w:right w:val="single" w:sz="4" w:space="0" w:color="auto"/>
            </w:tcBorders>
            <w:shd w:val="clear" w:color="auto" w:fill="auto"/>
            <w:vAlign w:val="center"/>
            <w:hideMark/>
          </w:tcPr>
          <w:p w14:paraId="11327D58" w14:textId="2FA8A808"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48A01067"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B2B08"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w:t>
            </w:r>
          </w:p>
        </w:tc>
        <w:tc>
          <w:tcPr>
            <w:tcW w:w="0" w:type="auto"/>
            <w:tcBorders>
              <w:top w:val="nil"/>
              <w:left w:val="nil"/>
              <w:bottom w:val="single" w:sz="4" w:space="0" w:color="auto"/>
              <w:right w:val="single" w:sz="4" w:space="0" w:color="auto"/>
            </w:tcBorders>
            <w:shd w:val="clear" w:color="auto" w:fill="auto"/>
            <w:vAlign w:val="center"/>
            <w:hideMark/>
          </w:tcPr>
          <w:p w14:paraId="13EEAC0C"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Trámites que ofrecen y requisitos.</w:t>
            </w:r>
          </w:p>
        </w:tc>
        <w:tc>
          <w:tcPr>
            <w:tcW w:w="823" w:type="dxa"/>
            <w:tcBorders>
              <w:top w:val="nil"/>
              <w:left w:val="nil"/>
              <w:bottom w:val="single" w:sz="4" w:space="0" w:color="auto"/>
              <w:right w:val="single" w:sz="4" w:space="0" w:color="auto"/>
            </w:tcBorders>
            <w:shd w:val="clear" w:color="auto" w:fill="auto"/>
            <w:vAlign w:val="center"/>
            <w:hideMark/>
          </w:tcPr>
          <w:p w14:paraId="464B0F8B" w14:textId="46B883E4"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643AFE84"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A20F24"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XXVI</w:t>
            </w:r>
          </w:p>
        </w:tc>
        <w:tc>
          <w:tcPr>
            <w:tcW w:w="0" w:type="auto"/>
            <w:tcBorders>
              <w:top w:val="nil"/>
              <w:left w:val="nil"/>
              <w:bottom w:val="single" w:sz="4" w:space="0" w:color="auto"/>
              <w:right w:val="single" w:sz="4" w:space="0" w:color="auto"/>
            </w:tcBorders>
            <w:shd w:val="clear" w:color="auto" w:fill="auto"/>
            <w:vAlign w:val="center"/>
            <w:hideMark/>
          </w:tcPr>
          <w:p w14:paraId="472BBC1B"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Informes de resultados de auditorias.</w:t>
            </w:r>
          </w:p>
        </w:tc>
        <w:tc>
          <w:tcPr>
            <w:tcW w:w="823" w:type="dxa"/>
            <w:tcBorders>
              <w:top w:val="nil"/>
              <w:left w:val="nil"/>
              <w:bottom w:val="single" w:sz="4" w:space="0" w:color="auto"/>
              <w:right w:val="single" w:sz="4" w:space="0" w:color="auto"/>
            </w:tcBorders>
            <w:shd w:val="clear" w:color="auto" w:fill="auto"/>
            <w:vAlign w:val="center"/>
            <w:hideMark/>
          </w:tcPr>
          <w:p w14:paraId="73DC4474" w14:textId="4C67D739"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390FBD68"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2E8D7"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XXIX</w:t>
            </w:r>
          </w:p>
        </w:tc>
        <w:tc>
          <w:tcPr>
            <w:tcW w:w="0" w:type="auto"/>
            <w:tcBorders>
              <w:top w:val="nil"/>
              <w:left w:val="nil"/>
              <w:bottom w:val="single" w:sz="4" w:space="0" w:color="auto"/>
              <w:right w:val="single" w:sz="4" w:space="0" w:color="auto"/>
            </w:tcBorders>
            <w:shd w:val="clear" w:color="auto" w:fill="auto"/>
            <w:vAlign w:val="center"/>
            <w:hideMark/>
          </w:tcPr>
          <w:p w14:paraId="0FEB669C"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Concesiones, contratos, convenios, permisos, licencias o autorizaciones otorgados.</w:t>
            </w:r>
          </w:p>
        </w:tc>
        <w:tc>
          <w:tcPr>
            <w:tcW w:w="823" w:type="dxa"/>
            <w:tcBorders>
              <w:top w:val="nil"/>
              <w:left w:val="nil"/>
              <w:bottom w:val="single" w:sz="4" w:space="0" w:color="auto"/>
              <w:right w:val="single" w:sz="4" w:space="0" w:color="auto"/>
            </w:tcBorders>
            <w:shd w:val="clear" w:color="auto" w:fill="auto"/>
            <w:vAlign w:val="center"/>
            <w:hideMark/>
          </w:tcPr>
          <w:p w14:paraId="54CC34BB" w14:textId="325044B0"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46504AFB"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E1FF99"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XXXI</w:t>
            </w:r>
          </w:p>
        </w:tc>
        <w:tc>
          <w:tcPr>
            <w:tcW w:w="0" w:type="auto"/>
            <w:tcBorders>
              <w:top w:val="nil"/>
              <w:left w:val="nil"/>
              <w:bottom w:val="single" w:sz="4" w:space="0" w:color="auto"/>
              <w:right w:val="single" w:sz="4" w:space="0" w:color="auto"/>
            </w:tcBorders>
            <w:shd w:val="clear" w:color="auto" w:fill="auto"/>
            <w:vAlign w:val="center"/>
            <w:hideMark/>
          </w:tcPr>
          <w:p w14:paraId="181748A2" w14:textId="559C4281" w:rsidR="004077DD" w:rsidRPr="00B92499" w:rsidRDefault="004077DD">
            <w:pPr>
              <w:rPr>
                <w:rFonts w:ascii="Arial" w:hAnsi="Arial" w:cs="Arial"/>
                <w:color w:val="000000"/>
                <w:sz w:val="20"/>
                <w:szCs w:val="20"/>
              </w:rPr>
            </w:pPr>
            <w:r w:rsidRPr="00B92499">
              <w:rPr>
                <w:rFonts w:ascii="Arial" w:hAnsi="Arial" w:cs="Arial"/>
                <w:color w:val="000000"/>
                <w:sz w:val="20"/>
                <w:szCs w:val="20"/>
              </w:rPr>
              <w:t>Informes que debe</w:t>
            </w:r>
            <w:r w:rsidR="00327FB1" w:rsidRPr="00B92499">
              <w:rPr>
                <w:rFonts w:ascii="Arial" w:hAnsi="Arial" w:cs="Arial"/>
                <w:color w:val="000000"/>
                <w:sz w:val="20"/>
                <w:szCs w:val="20"/>
              </w:rPr>
              <w:t xml:space="preserve"> </w:t>
            </w:r>
            <w:r w:rsidRPr="00B92499">
              <w:rPr>
                <w:rFonts w:ascii="Arial" w:hAnsi="Arial" w:cs="Arial"/>
                <w:color w:val="000000"/>
                <w:sz w:val="20"/>
                <w:szCs w:val="20"/>
              </w:rPr>
              <w:t xml:space="preserve">rendir el </w:t>
            </w:r>
            <w:r w:rsidR="008710F6" w:rsidRPr="00B92499">
              <w:rPr>
                <w:rFonts w:ascii="Arial" w:hAnsi="Arial" w:cs="Arial"/>
                <w:color w:val="000000"/>
                <w:sz w:val="20"/>
                <w:szCs w:val="20"/>
              </w:rPr>
              <w:t>sujeto obligado</w:t>
            </w:r>
            <w:r w:rsidRPr="00B92499">
              <w:rPr>
                <w:rFonts w:ascii="Arial" w:hAnsi="Arial" w:cs="Arial"/>
                <w:color w:val="000000"/>
                <w:sz w:val="20"/>
                <w:szCs w:val="20"/>
              </w:rPr>
              <w:t xml:space="preserve">. </w:t>
            </w:r>
          </w:p>
        </w:tc>
        <w:tc>
          <w:tcPr>
            <w:tcW w:w="823" w:type="dxa"/>
            <w:tcBorders>
              <w:top w:val="nil"/>
              <w:left w:val="nil"/>
              <w:bottom w:val="single" w:sz="4" w:space="0" w:color="auto"/>
              <w:right w:val="single" w:sz="4" w:space="0" w:color="auto"/>
            </w:tcBorders>
            <w:shd w:val="clear" w:color="auto" w:fill="auto"/>
            <w:vAlign w:val="center"/>
            <w:hideMark/>
          </w:tcPr>
          <w:p w14:paraId="504A1D3B" w14:textId="5B06E371"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1121A723"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596444"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XXXII</w:t>
            </w:r>
          </w:p>
        </w:tc>
        <w:tc>
          <w:tcPr>
            <w:tcW w:w="0" w:type="auto"/>
            <w:tcBorders>
              <w:top w:val="nil"/>
              <w:left w:val="nil"/>
              <w:bottom w:val="single" w:sz="4" w:space="0" w:color="auto"/>
              <w:right w:val="single" w:sz="4" w:space="0" w:color="auto"/>
            </w:tcBorders>
            <w:shd w:val="clear" w:color="auto" w:fill="auto"/>
            <w:vAlign w:val="center"/>
            <w:hideMark/>
          </w:tcPr>
          <w:p w14:paraId="2D683974"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Estadísticas que generen.</w:t>
            </w:r>
          </w:p>
        </w:tc>
        <w:tc>
          <w:tcPr>
            <w:tcW w:w="823" w:type="dxa"/>
            <w:tcBorders>
              <w:top w:val="nil"/>
              <w:left w:val="nil"/>
              <w:bottom w:val="single" w:sz="4" w:space="0" w:color="auto"/>
              <w:right w:val="single" w:sz="4" w:space="0" w:color="auto"/>
            </w:tcBorders>
            <w:shd w:val="clear" w:color="auto" w:fill="auto"/>
            <w:vAlign w:val="center"/>
            <w:hideMark/>
          </w:tcPr>
          <w:p w14:paraId="1270EC30" w14:textId="6FF31203"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4CECA770"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1597F2"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XLIV</w:t>
            </w:r>
          </w:p>
        </w:tc>
        <w:tc>
          <w:tcPr>
            <w:tcW w:w="0" w:type="auto"/>
            <w:tcBorders>
              <w:top w:val="nil"/>
              <w:left w:val="nil"/>
              <w:bottom w:val="single" w:sz="4" w:space="0" w:color="auto"/>
              <w:right w:val="single" w:sz="4" w:space="0" w:color="auto"/>
            </w:tcBorders>
            <w:shd w:val="clear" w:color="auto" w:fill="auto"/>
            <w:vAlign w:val="center"/>
            <w:hideMark/>
          </w:tcPr>
          <w:p w14:paraId="7E72FB86"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 xml:space="preserve">Evaluaciones y encuestas a programas financiados con recursos públicos. </w:t>
            </w:r>
          </w:p>
        </w:tc>
        <w:tc>
          <w:tcPr>
            <w:tcW w:w="823" w:type="dxa"/>
            <w:tcBorders>
              <w:top w:val="nil"/>
              <w:left w:val="nil"/>
              <w:bottom w:val="single" w:sz="4" w:space="0" w:color="auto"/>
              <w:right w:val="single" w:sz="4" w:space="0" w:color="auto"/>
            </w:tcBorders>
            <w:shd w:val="clear" w:color="auto" w:fill="auto"/>
            <w:vAlign w:val="center"/>
            <w:hideMark/>
          </w:tcPr>
          <w:p w14:paraId="1C283101" w14:textId="0AB57FC3"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480FC02D"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E056BE"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lastRenderedPageBreak/>
              <w:t>XLV</w:t>
            </w:r>
          </w:p>
        </w:tc>
        <w:tc>
          <w:tcPr>
            <w:tcW w:w="0" w:type="auto"/>
            <w:tcBorders>
              <w:top w:val="nil"/>
              <w:left w:val="nil"/>
              <w:bottom w:val="single" w:sz="4" w:space="0" w:color="auto"/>
              <w:right w:val="single" w:sz="4" w:space="0" w:color="auto"/>
            </w:tcBorders>
            <w:shd w:val="clear" w:color="auto" w:fill="auto"/>
            <w:vAlign w:val="center"/>
            <w:hideMark/>
          </w:tcPr>
          <w:p w14:paraId="126C95D0"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Estudios financiados con recursos públicos.</w:t>
            </w:r>
          </w:p>
        </w:tc>
        <w:tc>
          <w:tcPr>
            <w:tcW w:w="823" w:type="dxa"/>
            <w:tcBorders>
              <w:top w:val="nil"/>
              <w:left w:val="nil"/>
              <w:bottom w:val="single" w:sz="4" w:space="0" w:color="auto"/>
              <w:right w:val="single" w:sz="4" w:space="0" w:color="auto"/>
            </w:tcBorders>
            <w:shd w:val="clear" w:color="auto" w:fill="auto"/>
            <w:vAlign w:val="center"/>
            <w:hideMark/>
          </w:tcPr>
          <w:p w14:paraId="6ABBF76B" w14:textId="62EF2042"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484B4806"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4C654D"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XLIX</w:t>
            </w:r>
          </w:p>
        </w:tc>
        <w:tc>
          <w:tcPr>
            <w:tcW w:w="0" w:type="auto"/>
            <w:tcBorders>
              <w:top w:val="nil"/>
              <w:left w:val="nil"/>
              <w:bottom w:val="single" w:sz="4" w:space="0" w:color="auto"/>
              <w:right w:val="single" w:sz="4" w:space="0" w:color="auto"/>
            </w:tcBorders>
            <w:shd w:val="clear" w:color="auto" w:fill="auto"/>
            <w:vAlign w:val="center"/>
            <w:hideMark/>
          </w:tcPr>
          <w:p w14:paraId="50D7047A"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 xml:space="preserve">El catálogo de disposición y guía de archivo documental. </w:t>
            </w:r>
          </w:p>
        </w:tc>
        <w:tc>
          <w:tcPr>
            <w:tcW w:w="823" w:type="dxa"/>
            <w:tcBorders>
              <w:top w:val="nil"/>
              <w:left w:val="nil"/>
              <w:bottom w:val="single" w:sz="4" w:space="0" w:color="auto"/>
              <w:right w:val="single" w:sz="4" w:space="0" w:color="auto"/>
            </w:tcBorders>
            <w:shd w:val="clear" w:color="auto" w:fill="auto"/>
            <w:vAlign w:val="center"/>
            <w:hideMark/>
          </w:tcPr>
          <w:p w14:paraId="63D39D6D" w14:textId="6975B008"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12216EE4"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16D777"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LII</w:t>
            </w:r>
          </w:p>
        </w:tc>
        <w:tc>
          <w:tcPr>
            <w:tcW w:w="0" w:type="auto"/>
            <w:tcBorders>
              <w:top w:val="nil"/>
              <w:left w:val="nil"/>
              <w:bottom w:val="single" w:sz="4" w:space="0" w:color="auto"/>
              <w:right w:val="single" w:sz="4" w:space="0" w:color="auto"/>
            </w:tcBorders>
            <w:shd w:val="clear" w:color="auto" w:fill="auto"/>
            <w:vAlign w:val="center"/>
            <w:hideMark/>
          </w:tcPr>
          <w:p w14:paraId="06549613"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 xml:space="preserve">Cualquier otra información que sea de utilidad o se considere relevante. </w:t>
            </w:r>
          </w:p>
        </w:tc>
        <w:tc>
          <w:tcPr>
            <w:tcW w:w="823" w:type="dxa"/>
            <w:tcBorders>
              <w:top w:val="nil"/>
              <w:left w:val="nil"/>
              <w:bottom w:val="single" w:sz="4" w:space="0" w:color="auto"/>
              <w:right w:val="single" w:sz="4" w:space="0" w:color="auto"/>
            </w:tcBorders>
            <w:shd w:val="clear" w:color="auto" w:fill="auto"/>
            <w:vAlign w:val="center"/>
            <w:hideMark/>
          </w:tcPr>
          <w:p w14:paraId="760DFFF6" w14:textId="43D1FA22" w:rsidR="004077DD" w:rsidRPr="00B92499" w:rsidRDefault="004077DD" w:rsidP="00E06A3C">
            <w:pPr>
              <w:jc w:val="center"/>
              <w:rPr>
                <w:rFonts w:ascii="Arial" w:hAnsi="Arial" w:cs="Arial"/>
                <w:color w:val="000000"/>
                <w:sz w:val="20"/>
                <w:szCs w:val="20"/>
              </w:rPr>
            </w:pPr>
            <w:r w:rsidRPr="00B92499">
              <w:rPr>
                <w:rFonts w:ascii="Arial" w:hAnsi="Arial" w:cs="Arial"/>
                <w:color w:val="000000"/>
                <w:sz w:val="20"/>
                <w:szCs w:val="20"/>
              </w:rPr>
              <w:t>100</w:t>
            </w:r>
          </w:p>
        </w:tc>
      </w:tr>
      <w:tr w:rsidR="004077DD" w:rsidRPr="00B92499" w14:paraId="5AAEC916"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A7D14F"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XIX</w:t>
            </w:r>
          </w:p>
        </w:tc>
        <w:tc>
          <w:tcPr>
            <w:tcW w:w="0" w:type="auto"/>
            <w:tcBorders>
              <w:top w:val="nil"/>
              <w:left w:val="nil"/>
              <w:bottom w:val="single" w:sz="4" w:space="0" w:color="auto"/>
              <w:right w:val="single" w:sz="4" w:space="0" w:color="auto"/>
            </w:tcBorders>
            <w:shd w:val="clear" w:color="auto" w:fill="auto"/>
            <w:vAlign w:val="center"/>
            <w:hideMark/>
          </w:tcPr>
          <w:p w14:paraId="6C158B2E"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Servicios que ofrecen y requisitos para acceder a ellos.</w:t>
            </w:r>
          </w:p>
        </w:tc>
        <w:tc>
          <w:tcPr>
            <w:tcW w:w="823" w:type="dxa"/>
            <w:tcBorders>
              <w:top w:val="nil"/>
              <w:left w:val="nil"/>
              <w:bottom w:val="single" w:sz="4" w:space="0" w:color="auto"/>
              <w:right w:val="single" w:sz="4" w:space="0" w:color="auto"/>
            </w:tcBorders>
            <w:shd w:val="clear" w:color="auto" w:fill="auto"/>
            <w:vAlign w:val="center"/>
            <w:hideMark/>
          </w:tcPr>
          <w:p w14:paraId="1189487E"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93.75</w:t>
            </w:r>
          </w:p>
        </w:tc>
      </w:tr>
      <w:tr w:rsidR="004077DD" w:rsidRPr="00B92499" w14:paraId="56695C1E"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653D7C"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XXV</w:t>
            </w:r>
          </w:p>
        </w:tc>
        <w:tc>
          <w:tcPr>
            <w:tcW w:w="0" w:type="auto"/>
            <w:tcBorders>
              <w:top w:val="nil"/>
              <w:left w:val="nil"/>
              <w:bottom w:val="single" w:sz="4" w:space="0" w:color="auto"/>
              <w:right w:val="single" w:sz="4" w:space="0" w:color="auto"/>
            </w:tcBorders>
            <w:shd w:val="clear" w:color="auto" w:fill="auto"/>
            <w:vAlign w:val="center"/>
            <w:hideMark/>
          </w:tcPr>
          <w:p w14:paraId="0CF4BEDA"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Montos destinados a Comunicación Social y publicidad.</w:t>
            </w:r>
          </w:p>
        </w:tc>
        <w:tc>
          <w:tcPr>
            <w:tcW w:w="823" w:type="dxa"/>
            <w:tcBorders>
              <w:top w:val="nil"/>
              <w:left w:val="nil"/>
              <w:bottom w:val="single" w:sz="4" w:space="0" w:color="auto"/>
              <w:right w:val="single" w:sz="4" w:space="0" w:color="auto"/>
            </w:tcBorders>
            <w:shd w:val="clear" w:color="auto" w:fill="auto"/>
            <w:vAlign w:val="center"/>
            <w:hideMark/>
          </w:tcPr>
          <w:p w14:paraId="244A6DF7"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81.25</w:t>
            </w:r>
          </w:p>
        </w:tc>
      </w:tr>
      <w:tr w:rsidR="004077DD" w:rsidRPr="00B92499" w14:paraId="4299E0A3"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FDE5D"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4D026C1A"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Marco Normativo.</w:t>
            </w:r>
          </w:p>
        </w:tc>
        <w:tc>
          <w:tcPr>
            <w:tcW w:w="823" w:type="dxa"/>
            <w:tcBorders>
              <w:top w:val="nil"/>
              <w:left w:val="nil"/>
              <w:bottom w:val="single" w:sz="4" w:space="0" w:color="auto"/>
              <w:right w:val="single" w:sz="4" w:space="0" w:color="auto"/>
            </w:tcBorders>
            <w:shd w:val="clear" w:color="auto" w:fill="auto"/>
            <w:vAlign w:val="center"/>
            <w:hideMark/>
          </w:tcPr>
          <w:p w14:paraId="70FA04DF"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73.75</w:t>
            </w:r>
          </w:p>
        </w:tc>
      </w:tr>
      <w:tr w:rsidR="004077DD" w:rsidRPr="00B92499" w14:paraId="17AB4805"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4BB059"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XXXVI</w:t>
            </w:r>
          </w:p>
        </w:tc>
        <w:tc>
          <w:tcPr>
            <w:tcW w:w="0" w:type="auto"/>
            <w:tcBorders>
              <w:top w:val="nil"/>
              <w:left w:val="nil"/>
              <w:bottom w:val="single" w:sz="4" w:space="0" w:color="auto"/>
              <w:right w:val="single" w:sz="4" w:space="0" w:color="auto"/>
            </w:tcBorders>
            <w:shd w:val="clear" w:color="auto" w:fill="auto"/>
            <w:vAlign w:val="center"/>
            <w:hideMark/>
          </w:tcPr>
          <w:p w14:paraId="06B905BA"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Inventario de bienes muebles.</w:t>
            </w:r>
          </w:p>
        </w:tc>
        <w:tc>
          <w:tcPr>
            <w:tcW w:w="823" w:type="dxa"/>
            <w:tcBorders>
              <w:top w:val="nil"/>
              <w:left w:val="nil"/>
              <w:bottom w:val="single" w:sz="4" w:space="0" w:color="auto"/>
              <w:right w:val="single" w:sz="4" w:space="0" w:color="auto"/>
            </w:tcBorders>
            <w:shd w:val="clear" w:color="auto" w:fill="auto"/>
            <w:vAlign w:val="center"/>
            <w:hideMark/>
          </w:tcPr>
          <w:p w14:paraId="031D5750"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66.67</w:t>
            </w:r>
          </w:p>
        </w:tc>
      </w:tr>
      <w:tr w:rsidR="004077DD" w:rsidRPr="00B92499" w14:paraId="0BBAF275"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F6A4E3"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XXXVIII</w:t>
            </w:r>
          </w:p>
        </w:tc>
        <w:tc>
          <w:tcPr>
            <w:tcW w:w="0" w:type="auto"/>
            <w:tcBorders>
              <w:top w:val="nil"/>
              <w:left w:val="nil"/>
              <w:bottom w:val="single" w:sz="4" w:space="0" w:color="auto"/>
              <w:right w:val="single" w:sz="4" w:space="0" w:color="auto"/>
            </w:tcBorders>
            <w:shd w:val="clear" w:color="auto" w:fill="auto"/>
            <w:vAlign w:val="center"/>
            <w:hideMark/>
          </w:tcPr>
          <w:p w14:paraId="3120645E" w14:textId="1041459E" w:rsidR="004077DD" w:rsidRPr="00B92499" w:rsidRDefault="004077DD">
            <w:pPr>
              <w:rPr>
                <w:rFonts w:ascii="Arial" w:hAnsi="Arial" w:cs="Arial"/>
                <w:color w:val="000000"/>
                <w:sz w:val="20"/>
                <w:szCs w:val="20"/>
              </w:rPr>
            </w:pPr>
            <w:r w:rsidRPr="00B92499">
              <w:rPr>
                <w:rFonts w:ascii="Arial" w:hAnsi="Arial" w:cs="Arial"/>
                <w:color w:val="000000"/>
                <w:sz w:val="20"/>
                <w:szCs w:val="20"/>
              </w:rPr>
              <w:t xml:space="preserve">Relación del número de recomendaciones emitidas por el Instituto al </w:t>
            </w:r>
            <w:r w:rsidR="008710F6" w:rsidRPr="00B92499">
              <w:rPr>
                <w:rFonts w:ascii="Arial" w:hAnsi="Arial" w:cs="Arial"/>
                <w:color w:val="000000"/>
                <w:sz w:val="20"/>
                <w:szCs w:val="20"/>
              </w:rPr>
              <w:t>sujeto obligado</w:t>
            </w:r>
            <w:r w:rsidRPr="00B92499">
              <w:rPr>
                <w:rFonts w:ascii="Arial" w:hAnsi="Arial" w:cs="Arial"/>
                <w:color w:val="000000"/>
                <w:sz w:val="20"/>
                <w:szCs w:val="20"/>
              </w:rPr>
              <w:t>.</w:t>
            </w:r>
          </w:p>
        </w:tc>
        <w:tc>
          <w:tcPr>
            <w:tcW w:w="823" w:type="dxa"/>
            <w:tcBorders>
              <w:top w:val="nil"/>
              <w:left w:val="nil"/>
              <w:bottom w:val="single" w:sz="4" w:space="0" w:color="auto"/>
              <w:right w:val="single" w:sz="4" w:space="0" w:color="auto"/>
            </w:tcBorders>
            <w:shd w:val="clear" w:color="auto" w:fill="auto"/>
            <w:vAlign w:val="center"/>
            <w:hideMark/>
          </w:tcPr>
          <w:p w14:paraId="42B74410"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50.00</w:t>
            </w:r>
          </w:p>
        </w:tc>
      </w:tr>
      <w:tr w:rsidR="004077DD" w:rsidRPr="00B92499" w14:paraId="724FF522" w14:textId="77777777" w:rsidTr="004077DD">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F42169"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XLIII</w:t>
            </w:r>
          </w:p>
        </w:tc>
        <w:tc>
          <w:tcPr>
            <w:tcW w:w="0" w:type="auto"/>
            <w:tcBorders>
              <w:top w:val="nil"/>
              <w:left w:val="nil"/>
              <w:bottom w:val="single" w:sz="4" w:space="0" w:color="auto"/>
              <w:right w:val="single" w:sz="4" w:space="0" w:color="auto"/>
            </w:tcBorders>
            <w:shd w:val="clear" w:color="auto" w:fill="auto"/>
            <w:vAlign w:val="center"/>
            <w:hideMark/>
          </w:tcPr>
          <w:p w14:paraId="39B287BF" w14:textId="77777777" w:rsidR="004077DD" w:rsidRPr="00B92499" w:rsidRDefault="004077DD">
            <w:pPr>
              <w:rPr>
                <w:rFonts w:ascii="Arial" w:hAnsi="Arial" w:cs="Arial"/>
                <w:color w:val="000000"/>
                <w:sz w:val="20"/>
                <w:szCs w:val="20"/>
              </w:rPr>
            </w:pPr>
            <w:r w:rsidRPr="00B92499">
              <w:rPr>
                <w:rFonts w:ascii="Arial" w:hAnsi="Arial" w:cs="Arial"/>
                <w:color w:val="000000"/>
                <w:sz w:val="20"/>
                <w:szCs w:val="20"/>
              </w:rPr>
              <w:t>Actas y Resoluciones del Comité de Transparencia.</w:t>
            </w:r>
          </w:p>
        </w:tc>
        <w:tc>
          <w:tcPr>
            <w:tcW w:w="823" w:type="dxa"/>
            <w:tcBorders>
              <w:top w:val="nil"/>
              <w:left w:val="nil"/>
              <w:bottom w:val="single" w:sz="4" w:space="0" w:color="auto"/>
              <w:right w:val="single" w:sz="4" w:space="0" w:color="auto"/>
            </w:tcBorders>
            <w:shd w:val="clear" w:color="auto" w:fill="auto"/>
            <w:vAlign w:val="center"/>
            <w:hideMark/>
          </w:tcPr>
          <w:p w14:paraId="110E729F" w14:textId="77777777" w:rsidR="004077DD" w:rsidRPr="00B92499" w:rsidRDefault="004077DD">
            <w:pPr>
              <w:jc w:val="center"/>
              <w:rPr>
                <w:rFonts w:ascii="Arial" w:hAnsi="Arial" w:cs="Arial"/>
                <w:color w:val="000000"/>
                <w:sz w:val="20"/>
                <w:szCs w:val="20"/>
              </w:rPr>
            </w:pPr>
            <w:r w:rsidRPr="00B92499">
              <w:rPr>
                <w:rFonts w:ascii="Arial" w:hAnsi="Arial" w:cs="Arial"/>
                <w:color w:val="000000"/>
                <w:sz w:val="20"/>
                <w:szCs w:val="20"/>
              </w:rPr>
              <w:t>33.33</w:t>
            </w:r>
          </w:p>
        </w:tc>
      </w:tr>
    </w:tbl>
    <w:p w14:paraId="007BFC1C" w14:textId="77777777" w:rsidR="004077DD" w:rsidRPr="00B92499" w:rsidRDefault="004077DD" w:rsidP="00D118E9">
      <w:pPr>
        <w:spacing w:before="100" w:beforeAutospacing="1" w:after="100" w:afterAutospacing="1" w:line="360" w:lineRule="auto"/>
        <w:contextualSpacing/>
        <w:jc w:val="both"/>
        <w:rPr>
          <w:rFonts w:ascii="Arial" w:hAnsi="Arial" w:cs="Arial"/>
        </w:rPr>
      </w:pPr>
    </w:p>
    <w:p w14:paraId="2F83813C" w14:textId="11ECC428" w:rsidR="008D44C3" w:rsidRPr="00B92499" w:rsidRDefault="000D3657" w:rsidP="009F64B5">
      <w:pPr>
        <w:pStyle w:val="Ttulo2"/>
        <w:numPr>
          <w:ilvl w:val="1"/>
          <w:numId w:val="19"/>
        </w:numPr>
        <w:contextualSpacing/>
        <w:jc w:val="both"/>
        <w:rPr>
          <w:rFonts w:ascii="Arial" w:hAnsi="Arial" w:cs="Arial"/>
          <w:b/>
          <w:color w:val="auto"/>
          <w:sz w:val="24"/>
          <w:szCs w:val="24"/>
        </w:rPr>
      </w:pPr>
      <w:bookmarkStart w:id="53" w:name="_Toc23253009"/>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137 y sus respectivas fracciones</w:t>
      </w:r>
      <w:bookmarkEnd w:id="53"/>
    </w:p>
    <w:p w14:paraId="6301A413" w14:textId="1F8B2F46" w:rsidR="004077DD" w:rsidRPr="00B92499" w:rsidRDefault="004077DD" w:rsidP="004077DD">
      <w:pPr>
        <w:spacing w:before="100" w:beforeAutospacing="1" w:after="100" w:afterAutospacing="1" w:line="360" w:lineRule="auto"/>
        <w:contextualSpacing/>
        <w:jc w:val="both"/>
        <w:rPr>
          <w:rFonts w:ascii="Arial" w:hAnsi="Arial" w:cs="Arial"/>
        </w:rPr>
      </w:pPr>
      <w:r w:rsidRPr="00B92499">
        <w:rPr>
          <w:rFonts w:ascii="Arial" w:hAnsi="Arial" w:cs="Arial"/>
        </w:rPr>
        <w:t>El sindicato obtuvo un ICP en este artículo de 99.60%, por lo que se encuentra dentro del área de cumplimiento parcial. Lo anterior se debió a que de las 10 fracciones que les son aplicables, en</w:t>
      </w:r>
      <w:r w:rsidR="000D67A7" w:rsidRPr="00B92499">
        <w:rPr>
          <w:rFonts w:ascii="Arial" w:hAnsi="Arial" w:cs="Arial"/>
        </w:rPr>
        <w:t xml:space="preserve"> 7 </w:t>
      </w:r>
      <w:r w:rsidRPr="00B92499">
        <w:rPr>
          <w:rFonts w:ascii="Arial" w:hAnsi="Arial" w:cs="Arial"/>
        </w:rPr>
        <w:t xml:space="preserve"> alcanzó un cumplimiento total de 100%, en </w:t>
      </w:r>
      <w:r w:rsidR="000D67A7" w:rsidRPr="00B92499">
        <w:rPr>
          <w:rFonts w:ascii="Arial" w:hAnsi="Arial" w:cs="Arial"/>
        </w:rPr>
        <w:t>2</w:t>
      </w:r>
      <w:r w:rsidRPr="00B92499">
        <w:rPr>
          <w:rFonts w:ascii="Arial" w:hAnsi="Arial" w:cs="Arial"/>
        </w:rPr>
        <w:t xml:space="preserve"> fracciones un cumplimiento parcial de 99.21% y en una fracción obtuvo un incumplimiento tota</w:t>
      </w:r>
      <w:r w:rsidR="00615A43" w:rsidRPr="00B92499">
        <w:rPr>
          <w:rFonts w:ascii="Arial" w:hAnsi="Arial" w:cs="Arial"/>
        </w:rPr>
        <w:t>l</w:t>
      </w:r>
      <w:r w:rsidRPr="00B92499">
        <w:rPr>
          <w:rFonts w:ascii="Arial" w:hAnsi="Arial" w:cs="Arial"/>
        </w:rPr>
        <w:t xml:space="preserve">. </w:t>
      </w:r>
    </w:p>
    <w:p w14:paraId="51006AF8" w14:textId="77777777" w:rsidR="004077DD" w:rsidRPr="00B92499" w:rsidRDefault="004077DD" w:rsidP="002E7D47">
      <w:pPr>
        <w:spacing w:before="100" w:beforeAutospacing="1" w:after="100" w:afterAutospacing="1" w:line="360" w:lineRule="auto"/>
        <w:contextualSpacing/>
        <w:jc w:val="both"/>
        <w:rPr>
          <w:rFonts w:ascii="Arial" w:hAnsi="Arial" w:cs="Arial"/>
        </w:rPr>
      </w:pPr>
    </w:p>
    <w:p w14:paraId="18148A35" w14:textId="16DCA9FC" w:rsidR="004077DD" w:rsidRPr="00B92499" w:rsidRDefault="004077DD" w:rsidP="00D424B6">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de las 10 fracciones que le son aplicables; las </w:t>
      </w:r>
      <w:r w:rsidR="000D67A7" w:rsidRPr="00B92499">
        <w:rPr>
          <w:rFonts w:ascii="Arial" w:hAnsi="Arial" w:cs="Arial"/>
        </w:rPr>
        <w:t>2</w:t>
      </w:r>
      <w:r w:rsidRPr="00B92499">
        <w:rPr>
          <w:rFonts w:ascii="Arial" w:hAnsi="Arial" w:cs="Arial"/>
        </w:rPr>
        <w:t xml:space="preserve"> que no </w:t>
      </w:r>
      <w:r w:rsidR="00615A43" w:rsidRPr="00B92499">
        <w:rPr>
          <w:rFonts w:ascii="Arial" w:hAnsi="Arial" w:cs="Arial"/>
        </w:rPr>
        <w:t>alcanzaron</w:t>
      </w:r>
      <w:r w:rsidRPr="00B92499">
        <w:rPr>
          <w:rFonts w:ascii="Arial" w:hAnsi="Arial" w:cs="Arial"/>
        </w:rPr>
        <w:t xml:space="preserve"> un cumplimiento total y, por lo tanto, presentan área de oportunidad son las siguientes: </w:t>
      </w:r>
    </w:p>
    <w:p w14:paraId="6706CC1F" w14:textId="4AC73C34" w:rsidR="004077DD" w:rsidRPr="00B92499" w:rsidRDefault="004077DD" w:rsidP="009F64B5">
      <w:pPr>
        <w:pStyle w:val="Prrafodelista"/>
        <w:numPr>
          <w:ilvl w:val="0"/>
          <w:numId w:val="28"/>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VI, con un ICP de </w:t>
      </w:r>
      <w:r w:rsidR="00615A43" w:rsidRPr="00B92499">
        <w:rPr>
          <w:rFonts w:ascii="Arial" w:hAnsi="Arial" w:cs="Arial"/>
          <w:sz w:val="24"/>
          <w:szCs w:val="24"/>
          <w:lang w:val="es-ES_tradnl"/>
        </w:rPr>
        <w:t>99.21</w:t>
      </w:r>
      <w:r w:rsidRPr="00B92499">
        <w:rPr>
          <w:rFonts w:ascii="Arial" w:hAnsi="Arial" w:cs="Arial"/>
          <w:sz w:val="24"/>
          <w:szCs w:val="24"/>
          <w:lang w:val="es-ES_tradnl"/>
        </w:rPr>
        <w:t xml:space="preserve">% que hace referencia a la publicación de las actas de asamblea. </w:t>
      </w:r>
      <w:r w:rsidR="001B2F09" w:rsidRPr="00B92499">
        <w:rPr>
          <w:rFonts w:ascii="Arial" w:hAnsi="Arial" w:cs="Arial"/>
          <w:sz w:val="24"/>
          <w:szCs w:val="24"/>
          <w:lang w:val="es-ES_tradnl"/>
        </w:rPr>
        <w:t xml:space="preserve">El área de oportunidad del </w:t>
      </w:r>
      <w:r w:rsidR="008710F6" w:rsidRPr="00B92499">
        <w:rPr>
          <w:rFonts w:ascii="Arial" w:hAnsi="Arial" w:cs="Arial"/>
          <w:sz w:val="24"/>
          <w:szCs w:val="24"/>
          <w:lang w:val="es-ES_tradnl"/>
        </w:rPr>
        <w:t>sujeto obligado</w:t>
      </w:r>
      <w:r w:rsidR="001B2F09" w:rsidRPr="00B92499">
        <w:rPr>
          <w:rFonts w:ascii="Arial" w:hAnsi="Arial" w:cs="Arial"/>
          <w:sz w:val="24"/>
          <w:szCs w:val="24"/>
          <w:lang w:val="es-ES_tradnl"/>
        </w:rPr>
        <w:t xml:space="preserve"> consiste en revisar el correcto funcionamiento de algunos hipervínculos que están con un funcionamiento intermitente.</w:t>
      </w:r>
    </w:p>
    <w:p w14:paraId="0AD1BC4C" w14:textId="77777777" w:rsidR="004077DD" w:rsidRPr="00B92499" w:rsidRDefault="004077DD" w:rsidP="004077DD">
      <w:pPr>
        <w:pStyle w:val="Prrafodelista"/>
        <w:spacing w:before="100" w:beforeAutospacing="1" w:after="100" w:afterAutospacing="1" w:line="360" w:lineRule="auto"/>
        <w:jc w:val="both"/>
        <w:rPr>
          <w:rFonts w:ascii="Arial" w:hAnsi="Arial" w:cs="Arial"/>
          <w:sz w:val="24"/>
          <w:szCs w:val="24"/>
          <w:lang w:val="es-ES_tradnl"/>
        </w:rPr>
      </w:pPr>
    </w:p>
    <w:p w14:paraId="2B316CD4" w14:textId="143901EB" w:rsidR="00615A43" w:rsidRPr="00B92499" w:rsidRDefault="004077DD" w:rsidP="009F64B5">
      <w:pPr>
        <w:pStyle w:val="Prrafodelista"/>
        <w:numPr>
          <w:ilvl w:val="0"/>
          <w:numId w:val="28"/>
        </w:numPr>
        <w:spacing w:before="100" w:beforeAutospacing="1" w:after="100" w:afterAutospacing="1" w:line="360" w:lineRule="auto"/>
        <w:jc w:val="both"/>
        <w:rPr>
          <w:rFonts w:ascii="Arial" w:hAnsi="Arial" w:cs="Arial"/>
          <w:sz w:val="24"/>
          <w:szCs w:val="24"/>
          <w:lang w:val="es-ES_tradnl"/>
        </w:rPr>
      </w:pPr>
      <w:r w:rsidRPr="00B92499">
        <w:rPr>
          <w:rFonts w:ascii="Arial" w:hAnsi="Arial" w:cs="Arial"/>
          <w:sz w:val="24"/>
          <w:szCs w:val="24"/>
          <w:lang w:val="es-ES_tradnl"/>
        </w:rPr>
        <w:t xml:space="preserve">Fracción </w:t>
      </w:r>
      <w:r w:rsidR="00615A43" w:rsidRPr="00B92499">
        <w:rPr>
          <w:rFonts w:ascii="Arial" w:hAnsi="Arial" w:cs="Arial"/>
          <w:sz w:val="24"/>
          <w:szCs w:val="24"/>
          <w:lang w:val="es-ES_tradnl"/>
        </w:rPr>
        <w:t>VII</w:t>
      </w:r>
      <w:r w:rsidRPr="00B92499">
        <w:rPr>
          <w:rFonts w:ascii="Arial" w:hAnsi="Arial" w:cs="Arial"/>
          <w:sz w:val="24"/>
          <w:szCs w:val="24"/>
          <w:lang w:val="es-ES_tradnl"/>
        </w:rPr>
        <w:t xml:space="preserve">, con un ICP de </w:t>
      </w:r>
      <w:r w:rsidR="00615A43" w:rsidRPr="00B92499">
        <w:rPr>
          <w:rFonts w:ascii="Arial" w:hAnsi="Arial" w:cs="Arial"/>
          <w:sz w:val="24"/>
          <w:szCs w:val="24"/>
          <w:lang w:val="es-ES_tradnl"/>
        </w:rPr>
        <w:t>99.66</w:t>
      </w:r>
      <w:r w:rsidRPr="00B92499">
        <w:rPr>
          <w:rFonts w:ascii="Arial" w:hAnsi="Arial" w:cs="Arial"/>
          <w:sz w:val="24"/>
          <w:szCs w:val="24"/>
          <w:lang w:val="es-ES_tradnl"/>
        </w:rPr>
        <w:t xml:space="preserve">%, que establece la publicación </w:t>
      </w:r>
      <w:r w:rsidR="00615A43" w:rsidRPr="00B92499">
        <w:rPr>
          <w:rFonts w:ascii="Arial" w:hAnsi="Arial" w:cs="Arial"/>
          <w:sz w:val="24"/>
          <w:szCs w:val="24"/>
          <w:lang w:val="es-ES_tradnl"/>
        </w:rPr>
        <w:t>de los reglamentos interiores de trabajo</w:t>
      </w:r>
      <w:r w:rsidRPr="00B92499">
        <w:rPr>
          <w:rFonts w:ascii="Arial" w:hAnsi="Arial" w:cs="Arial"/>
          <w:sz w:val="24"/>
          <w:szCs w:val="24"/>
          <w:lang w:val="es-ES_tradnl"/>
        </w:rPr>
        <w:t xml:space="preserve">. </w:t>
      </w:r>
      <w:r w:rsidR="001B2F09" w:rsidRPr="00B92499">
        <w:rPr>
          <w:rFonts w:ascii="Arial" w:hAnsi="Arial" w:cs="Arial"/>
          <w:sz w:val="24"/>
          <w:szCs w:val="24"/>
          <w:lang w:val="es-ES_tradnl"/>
        </w:rPr>
        <w:t xml:space="preserve">El área de oportunidad del </w:t>
      </w:r>
      <w:r w:rsidR="008710F6" w:rsidRPr="00B92499">
        <w:rPr>
          <w:rFonts w:ascii="Arial" w:hAnsi="Arial" w:cs="Arial"/>
          <w:sz w:val="24"/>
          <w:szCs w:val="24"/>
          <w:lang w:val="es-ES_tradnl"/>
        </w:rPr>
        <w:t>sujeto obligado</w:t>
      </w:r>
      <w:r w:rsidR="001B2F09" w:rsidRPr="00B92499">
        <w:rPr>
          <w:rFonts w:ascii="Arial" w:hAnsi="Arial" w:cs="Arial"/>
          <w:sz w:val="24"/>
          <w:szCs w:val="24"/>
          <w:lang w:val="es-ES_tradnl"/>
        </w:rPr>
        <w:t xml:space="preserve"> consiste en revisar el correcto funcionamiento de algunos hipervínculos que están con un funcionamiento intermitente. </w:t>
      </w:r>
    </w:p>
    <w:p w14:paraId="2228C3DB" w14:textId="32E2F233" w:rsidR="00615A43" w:rsidRPr="00B92499" w:rsidRDefault="00615A43" w:rsidP="00615A43">
      <w:pPr>
        <w:spacing w:before="100" w:beforeAutospacing="1" w:after="100" w:afterAutospacing="1" w:line="360" w:lineRule="auto"/>
        <w:jc w:val="both"/>
        <w:rPr>
          <w:rFonts w:ascii="Arial" w:hAnsi="Arial" w:cs="Arial"/>
        </w:rPr>
      </w:pPr>
      <w:r w:rsidRPr="00B92499">
        <w:rPr>
          <w:rFonts w:ascii="Arial" w:hAnsi="Arial" w:cs="Arial"/>
        </w:rPr>
        <w:t>De igual forma, en</w:t>
      </w:r>
      <w:r w:rsidR="000D67A7" w:rsidRPr="00B92499">
        <w:rPr>
          <w:rFonts w:ascii="Arial" w:hAnsi="Arial" w:cs="Arial"/>
        </w:rPr>
        <w:t xml:space="preserve"> 7 </w:t>
      </w:r>
      <w:r w:rsidRPr="00B92499">
        <w:rPr>
          <w:rFonts w:ascii="Arial" w:hAnsi="Arial" w:cs="Arial"/>
        </w:rPr>
        <w:t xml:space="preserve"> fracciones del artículo 137, este sindicato alcanzó un ICP de 100%</w:t>
      </w:r>
      <w:r w:rsidR="00490622" w:rsidRPr="00B92499">
        <w:rPr>
          <w:rFonts w:ascii="Arial" w:hAnsi="Arial" w:cs="Arial"/>
        </w:rPr>
        <w:t>.</w:t>
      </w:r>
    </w:p>
    <w:p w14:paraId="2DBC9C26" w14:textId="23DC8DA6" w:rsidR="00735992" w:rsidRPr="00B92499" w:rsidRDefault="00735992" w:rsidP="00615A43">
      <w:pPr>
        <w:spacing w:before="100" w:beforeAutospacing="1" w:after="100" w:afterAutospacing="1" w:line="360" w:lineRule="auto"/>
        <w:jc w:val="both"/>
        <w:rPr>
          <w:rFonts w:ascii="Arial" w:hAnsi="Arial" w:cs="Arial"/>
        </w:rPr>
      </w:pPr>
      <w:r w:rsidRPr="00B92499">
        <w:rPr>
          <w:rFonts w:ascii="Arial" w:hAnsi="Arial" w:cs="Arial"/>
        </w:rPr>
        <w:lastRenderedPageBreak/>
        <w:t>Con el objetivo de mostrar con mayor detalle el ICP de cada fracción del artículo 137</w:t>
      </w:r>
      <w:r w:rsidR="00490622" w:rsidRPr="00B92499">
        <w:rPr>
          <w:rFonts w:ascii="Arial" w:hAnsi="Arial" w:cs="Arial"/>
        </w:rPr>
        <w:t>,</w:t>
      </w:r>
      <w:r w:rsidRPr="00B92499">
        <w:rPr>
          <w:rFonts w:ascii="Arial" w:hAnsi="Arial" w:cs="Arial"/>
        </w:rPr>
        <w:t xml:space="preserve"> es presentada la siguiente tabla ordenada de forma descendente.</w:t>
      </w:r>
    </w:p>
    <w:tbl>
      <w:tblPr>
        <w:tblW w:w="8929" w:type="dxa"/>
        <w:tblCellMar>
          <w:left w:w="70" w:type="dxa"/>
          <w:right w:w="70" w:type="dxa"/>
        </w:tblCellMar>
        <w:tblLook w:val="04A0" w:firstRow="1" w:lastRow="0" w:firstColumn="1" w:lastColumn="0" w:noHBand="0" w:noVBand="1"/>
      </w:tblPr>
      <w:tblGrid>
        <w:gridCol w:w="974"/>
        <w:gridCol w:w="7066"/>
        <w:gridCol w:w="889"/>
      </w:tblGrid>
      <w:tr w:rsidR="00615A43" w:rsidRPr="00B92499" w14:paraId="1DF16BA1" w14:textId="77777777" w:rsidTr="00615A43">
        <w:trPr>
          <w:trHeight w:val="20"/>
          <w:tblHeader/>
        </w:trPr>
        <w:tc>
          <w:tcPr>
            <w:tcW w:w="8929"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3701564" w14:textId="47C3CD34"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 xml:space="preserve">Artículo 137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615A43" w:rsidRPr="00B92499" w14:paraId="3F8756FA" w14:textId="77777777" w:rsidTr="00D424B6">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51BAD235"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071F297A"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410" w:type="dxa"/>
            <w:tcBorders>
              <w:top w:val="nil"/>
              <w:left w:val="nil"/>
              <w:bottom w:val="single" w:sz="4" w:space="0" w:color="auto"/>
              <w:right w:val="single" w:sz="4" w:space="0" w:color="auto"/>
            </w:tcBorders>
            <w:shd w:val="clear" w:color="auto" w:fill="00B0F0"/>
            <w:vAlign w:val="center"/>
            <w:hideMark/>
          </w:tcPr>
          <w:p w14:paraId="5186E837"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615A43" w:rsidRPr="00B92499" w14:paraId="7A83C1C0"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209C39"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6C1603A8"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Publicar la relación de los contratos colectivos de trabajo que tenga registrados, los boletines laborales, el registro de asociaciones, así como los informes mensuales que deriven de sus funciones.</w:t>
            </w:r>
          </w:p>
        </w:tc>
        <w:tc>
          <w:tcPr>
            <w:tcW w:w="1410" w:type="dxa"/>
            <w:tcBorders>
              <w:top w:val="nil"/>
              <w:left w:val="nil"/>
              <w:bottom w:val="single" w:sz="4" w:space="0" w:color="auto"/>
              <w:right w:val="single" w:sz="4" w:space="0" w:color="auto"/>
            </w:tcBorders>
            <w:shd w:val="clear" w:color="auto" w:fill="auto"/>
            <w:vAlign w:val="center"/>
            <w:hideMark/>
          </w:tcPr>
          <w:p w14:paraId="239732C7"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0805CDE0"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ACCB34"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1EFC4576"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Los documentos del registro de los sindicatos, que deberán contener.</w:t>
            </w:r>
          </w:p>
        </w:tc>
        <w:tc>
          <w:tcPr>
            <w:tcW w:w="1410" w:type="dxa"/>
            <w:tcBorders>
              <w:top w:val="nil"/>
              <w:left w:val="nil"/>
              <w:bottom w:val="single" w:sz="4" w:space="0" w:color="auto"/>
              <w:right w:val="single" w:sz="4" w:space="0" w:color="auto"/>
            </w:tcBorders>
            <w:shd w:val="clear" w:color="auto" w:fill="auto"/>
            <w:vAlign w:val="center"/>
            <w:hideMark/>
          </w:tcPr>
          <w:p w14:paraId="4F0182DA"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5AE8771B"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B7B455"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5F8E164A"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Las tomas de nota.</w:t>
            </w:r>
          </w:p>
        </w:tc>
        <w:tc>
          <w:tcPr>
            <w:tcW w:w="1410" w:type="dxa"/>
            <w:tcBorders>
              <w:top w:val="nil"/>
              <w:left w:val="nil"/>
              <w:bottom w:val="single" w:sz="4" w:space="0" w:color="auto"/>
              <w:right w:val="single" w:sz="4" w:space="0" w:color="auto"/>
            </w:tcBorders>
            <w:shd w:val="clear" w:color="auto" w:fill="auto"/>
            <w:vAlign w:val="center"/>
            <w:hideMark/>
          </w:tcPr>
          <w:p w14:paraId="68FA06EC"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2BD23D0E"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2E2BD0"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3D539EB5"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El estatuto.</w:t>
            </w:r>
          </w:p>
        </w:tc>
        <w:tc>
          <w:tcPr>
            <w:tcW w:w="1410" w:type="dxa"/>
            <w:tcBorders>
              <w:top w:val="nil"/>
              <w:left w:val="nil"/>
              <w:bottom w:val="single" w:sz="4" w:space="0" w:color="auto"/>
              <w:right w:val="single" w:sz="4" w:space="0" w:color="auto"/>
            </w:tcBorders>
            <w:shd w:val="clear" w:color="auto" w:fill="auto"/>
            <w:vAlign w:val="center"/>
            <w:hideMark/>
          </w:tcPr>
          <w:p w14:paraId="4BFC5EEB"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11EBBA92"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D1A34"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V</w:t>
            </w:r>
          </w:p>
        </w:tc>
        <w:tc>
          <w:tcPr>
            <w:tcW w:w="0" w:type="auto"/>
            <w:tcBorders>
              <w:top w:val="nil"/>
              <w:left w:val="nil"/>
              <w:bottom w:val="single" w:sz="4" w:space="0" w:color="auto"/>
              <w:right w:val="single" w:sz="4" w:space="0" w:color="auto"/>
            </w:tcBorders>
            <w:shd w:val="clear" w:color="auto" w:fill="auto"/>
            <w:vAlign w:val="center"/>
            <w:hideMark/>
          </w:tcPr>
          <w:p w14:paraId="496307BE"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El padrón de socios.</w:t>
            </w:r>
          </w:p>
        </w:tc>
        <w:tc>
          <w:tcPr>
            <w:tcW w:w="1410" w:type="dxa"/>
            <w:tcBorders>
              <w:top w:val="nil"/>
              <w:left w:val="nil"/>
              <w:bottom w:val="single" w:sz="4" w:space="0" w:color="auto"/>
              <w:right w:val="single" w:sz="4" w:space="0" w:color="auto"/>
            </w:tcBorders>
            <w:shd w:val="clear" w:color="auto" w:fill="auto"/>
            <w:vAlign w:val="center"/>
            <w:hideMark/>
          </w:tcPr>
          <w:p w14:paraId="772CEF78"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073561E6"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611CC7"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VIII</w:t>
            </w:r>
          </w:p>
        </w:tc>
        <w:tc>
          <w:tcPr>
            <w:tcW w:w="0" w:type="auto"/>
            <w:tcBorders>
              <w:top w:val="nil"/>
              <w:left w:val="nil"/>
              <w:bottom w:val="single" w:sz="4" w:space="0" w:color="auto"/>
              <w:right w:val="single" w:sz="4" w:space="0" w:color="auto"/>
            </w:tcBorders>
            <w:shd w:val="clear" w:color="auto" w:fill="auto"/>
            <w:vAlign w:val="center"/>
            <w:hideMark/>
          </w:tcPr>
          <w:p w14:paraId="7799B86F" w14:textId="28A5FFF2" w:rsidR="00615A43" w:rsidRPr="00B92499" w:rsidRDefault="00615A43">
            <w:pPr>
              <w:rPr>
                <w:rFonts w:ascii="Arial" w:hAnsi="Arial" w:cs="Arial"/>
                <w:color w:val="000000"/>
                <w:sz w:val="20"/>
                <w:szCs w:val="20"/>
              </w:rPr>
            </w:pPr>
            <w:r w:rsidRPr="00B92499">
              <w:rPr>
                <w:rFonts w:ascii="Arial" w:hAnsi="Arial" w:cs="Arial"/>
                <w:color w:val="000000"/>
                <w:sz w:val="20"/>
                <w:szCs w:val="20"/>
              </w:rPr>
              <w:t>Los contratos colectivos, incluyendo el tabulador, convenios y las</w:t>
            </w:r>
            <w:r w:rsidR="00735992" w:rsidRPr="00B92499">
              <w:rPr>
                <w:rFonts w:ascii="Arial" w:hAnsi="Arial" w:cs="Arial"/>
                <w:color w:val="000000"/>
                <w:sz w:val="20"/>
                <w:szCs w:val="20"/>
              </w:rPr>
              <w:t xml:space="preserve"> </w:t>
            </w:r>
            <w:r w:rsidRPr="00B92499">
              <w:rPr>
                <w:rFonts w:ascii="Arial" w:hAnsi="Arial" w:cs="Arial"/>
                <w:color w:val="000000"/>
                <w:sz w:val="20"/>
                <w:szCs w:val="20"/>
              </w:rPr>
              <w:t>condiciones</w:t>
            </w:r>
            <w:r w:rsidR="00735992" w:rsidRPr="00B92499">
              <w:rPr>
                <w:rFonts w:ascii="Arial" w:hAnsi="Arial" w:cs="Arial"/>
                <w:color w:val="000000"/>
                <w:sz w:val="20"/>
                <w:szCs w:val="20"/>
              </w:rPr>
              <w:t xml:space="preserve"> </w:t>
            </w:r>
            <w:r w:rsidRPr="00B92499">
              <w:rPr>
                <w:rFonts w:ascii="Arial" w:hAnsi="Arial" w:cs="Arial"/>
                <w:color w:val="000000"/>
                <w:sz w:val="20"/>
                <w:szCs w:val="20"/>
              </w:rPr>
              <w:t>generales de trabajo.</w:t>
            </w:r>
          </w:p>
        </w:tc>
        <w:tc>
          <w:tcPr>
            <w:tcW w:w="1410" w:type="dxa"/>
            <w:tcBorders>
              <w:top w:val="nil"/>
              <w:left w:val="nil"/>
              <w:bottom w:val="single" w:sz="4" w:space="0" w:color="auto"/>
              <w:right w:val="single" w:sz="4" w:space="0" w:color="auto"/>
            </w:tcBorders>
            <w:shd w:val="clear" w:color="auto" w:fill="auto"/>
            <w:vAlign w:val="center"/>
            <w:hideMark/>
          </w:tcPr>
          <w:p w14:paraId="5F4578BA"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62761999"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F95E5E"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IX</w:t>
            </w:r>
          </w:p>
        </w:tc>
        <w:tc>
          <w:tcPr>
            <w:tcW w:w="0" w:type="auto"/>
            <w:tcBorders>
              <w:top w:val="nil"/>
              <w:left w:val="nil"/>
              <w:bottom w:val="single" w:sz="4" w:space="0" w:color="auto"/>
              <w:right w:val="single" w:sz="4" w:space="0" w:color="auto"/>
            </w:tcBorders>
            <w:shd w:val="clear" w:color="auto" w:fill="auto"/>
            <w:vAlign w:val="center"/>
            <w:hideMark/>
          </w:tcPr>
          <w:p w14:paraId="6AA5FD42"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Todos los documentos contenidos en el Expediente de registro sindical y de contratos colectivos de trabajo; y</w:t>
            </w:r>
          </w:p>
        </w:tc>
        <w:tc>
          <w:tcPr>
            <w:tcW w:w="1410" w:type="dxa"/>
            <w:tcBorders>
              <w:top w:val="nil"/>
              <w:left w:val="nil"/>
              <w:bottom w:val="single" w:sz="4" w:space="0" w:color="auto"/>
              <w:right w:val="single" w:sz="4" w:space="0" w:color="auto"/>
            </w:tcBorders>
            <w:shd w:val="clear" w:color="auto" w:fill="auto"/>
            <w:vAlign w:val="center"/>
            <w:hideMark/>
          </w:tcPr>
          <w:p w14:paraId="7CF1C742"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100</w:t>
            </w:r>
          </w:p>
        </w:tc>
      </w:tr>
      <w:tr w:rsidR="00D424B6" w:rsidRPr="00B92499" w14:paraId="6AE65B42"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C0EEB4" w14:textId="77777777" w:rsidR="00615A43" w:rsidRPr="00B92499" w:rsidRDefault="00615A43">
            <w:pPr>
              <w:jc w:val="center"/>
              <w:rPr>
                <w:rFonts w:ascii="Arial" w:hAnsi="Arial" w:cs="Arial"/>
                <w:color w:val="000000"/>
                <w:sz w:val="20"/>
                <w:szCs w:val="20"/>
              </w:rPr>
            </w:pPr>
            <w:r w:rsidRPr="00B92499">
              <w:rPr>
                <w:rFonts w:ascii="Arial" w:hAnsi="Arial" w:cs="Arial"/>
                <w:color w:val="000000"/>
                <w:sz w:val="20"/>
                <w:szCs w:val="20"/>
              </w:rPr>
              <w:t>X</w:t>
            </w:r>
          </w:p>
        </w:tc>
        <w:tc>
          <w:tcPr>
            <w:tcW w:w="0" w:type="auto"/>
            <w:tcBorders>
              <w:top w:val="nil"/>
              <w:left w:val="nil"/>
              <w:bottom w:val="single" w:sz="4" w:space="0" w:color="auto"/>
              <w:right w:val="single" w:sz="4" w:space="0" w:color="auto"/>
            </w:tcBorders>
            <w:shd w:val="clear" w:color="auto" w:fill="auto"/>
            <w:vAlign w:val="center"/>
            <w:hideMark/>
          </w:tcPr>
          <w:p w14:paraId="6F924D59" w14:textId="77777777" w:rsidR="00615A43" w:rsidRPr="00B92499" w:rsidRDefault="00615A43">
            <w:pPr>
              <w:rPr>
                <w:rFonts w:ascii="Arial" w:hAnsi="Arial" w:cs="Arial"/>
                <w:color w:val="000000"/>
                <w:sz w:val="20"/>
                <w:szCs w:val="20"/>
              </w:rPr>
            </w:pPr>
            <w:r w:rsidRPr="00B92499">
              <w:rPr>
                <w:rFonts w:ascii="Arial" w:hAnsi="Arial" w:cs="Arial"/>
                <w:color w:val="000000"/>
                <w:sz w:val="20"/>
                <w:szCs w:val="20"/>
              </w:rPr>
              <w:t>Una lista con el nombre de los patrones, empresas o establecimientos en los que se prestan los servicios.</w:t>
            </w:r>
          </w:p>
        </w:tc>
        <w:tc>
          <w:tcPr>
            <w:tcW w:w="1410" w:type="dxa"/>
            <w:tcBorders>
              <w:top w:val="nil"/>
              <w:left w:val="nil"/>
              <w:bottom w:val="single" w:sz="4" w:space="0" w:color="auto"/>
              <w:right w:val="single" w:sz="4" w:space="0" w:color="auto"/>
            </w:tcBorders>
            <w:shd w:val="clear" w:color="auto" w:fill="auto"/>
            <w:vAlign w:val="center"/>
            <w:hideMark/>
          </w:tcPr>
          <w:p w14:paraId="5AAE46FE" w14:textId="77777777" w:rsidR="00615A43" w:rsidRPr="00B92499" w:rsidRDefault="00D424B6">
            <w:pPr>
              <w:jc w:val="center"/>
              <w:rPr>
                <w:rFonts w:ascii="Arial" w:hAnsi="Arial" w:cs="Arial"/>
                <w:color w:val="000000"/>
                <w:sz w:val="20"/>
                <w:szCs w:val="20"/>
              </w:rPr>
            </w:pPr>
            <w:r w:rsidRPr="00B92499">
              <w:rPr>
                <w:rFonts w:ascii="Arial" w:hAnsi="Arial" w:cs="Arial"/>
                <w:color w:val="000000"/>
                <w:sz w:val="20"/>
                <w:szCs w:val="20"/>
              </w:rPr>
              <w:t>10</w:t>
            </w:r>
            <w:r w:rsidR="00615A43" w:rsidRPr="00B92499">
              <w:rPr>
                <w:rFonts w:ascii="Arial" w:hAnsi="Arial" w:cs="Arial"/>
                <w:color w:val="000000"/>
                <w:sz w:val="20"/>
                <w:szCs w:val="20"/>
              </w:rPr>
              <w:t>0</w:t>
            </w:r>
          </w:p>
        </w:tc>
      </w:tr>
      <w:tr w:rsidR="00D424B6" w:rsidRPr="00B92499" w14:paraId="74593EDE"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47DCC7" w14:textId="77777777" w:rsidR="00D424B6" w:rsidRPr="00B92499" w:rsidRDefault="00D424B6" w:rsidP="00A027DB">
            <w:pPr>
              <w:jc w:val="center"/>
              <w:rPr>
                <w:rFonts w:ascii="Arial" w:hAnsi="Arial" w:cs="Arial"/>
                <w:color w:val="000000"/>
                <w:sz w:val="20"/>
                <w:szCs w:val="20"/>
              </w:rPr>
            </w:pPr>
            <w:r w:rsidRPr="00B92499">
              <w:rPr>
                <w:rFonts w:ascii="Arial" w:hAnsi="Arial" w:cs="Arial"/>
                <w:color w:val="000000"/>
                <w:sz w:val="20"/>
                <w:szCs w:val="20"/>
              </w:rPr>
              <w:t>VII</w:t>
            </w:r>
          </w:p>
        </w:tc>
        <w:tc>
          <w:tcPr>
            <w:tcW w:w="0" w:type="auto"/>
            <w:tcBorders>
              <w:top w:val="nil"/>
              <w:left w:val="nil"/>
              <w:bottom w:val="single" w:sz="4" w:space="0" w:color="auto"/>
              <w:right w:val="single" w:sz="4" w:space="0" w:color="auto"/>
            </w:tcBorders>
            <w:shd w:val="clear" w:color="auto" w:fill="auto"/>
            <w:vAlign w:val="center"/>
            <w:hideMark/>
          </w:tcPr>
          <w:p w14:paraId="39ED840D" w14:textId="77777777" w:rsidR="00D424B6" w:rsidRPr="00B92499" w:rsidRDefault="00D424B6" w:rsidP="00A027DB">
            <w:pPr>
              <w:rPr>
                <w:rFonts w:ascii="Arial" w:hAnsi="Arial" w:cs="Arial"/>
                <w:color w:val="000000"/>
                <w:sz w:val="20"/>
                <w:szCs w:val="20"/>
              </w:rPr>
            </w:pPr>
            <w:r w:rsidRPr="00B92499">
              <w:rPr>
                <w:rFonts w:ascii="Arial" w:hAnsi="Arial" w:cs="Arial"/>
                <w:color w:val="000000"/>
                <w:sz w:val="20"/>
                <w:szCs w:val="20"/>
              </w:rPr>
              <w:t>Los reglamentos interiores de trabajo.</w:t>
            </w:r>
          </w:p>
        </w:tc>
        <w:tc>
          <w:tcPr>
            <w:tcW w:w="1410" w:type="dxa"/>
            <w:tcBorders>
              <w:top w:val="nil"/>
              <w:left w:val="nil"/>
              <w:bottom w:val="single" w:sz="4" w:space="0" w:color="auto"/>
              <w:right w:val="single" w:sz="4" w:space="0" w:color="auto"/>
            </w:tcBorders>
            <w:shd w:val="clear" w:color="auto" w:fill="auto"/>
            <w:vAlign w:val="center"/>
            <w:hideMark/>
          </w:tcPr>
          <w:p w14:paraId="67EFC4AE" w14:textId="5B3F40F4" w:rsidR="00D424B6" w:rsidRPr="00B92499" w:rsidRDefault="00D424B6" w:rsidP="00B254C5">
            <w:pPr>
              <w:jc w:val="center"/>
              <w:rPr>
                <w:rFonts w:ascii="Arial" w:hAnsi="Arial" w:cs="Arial"/>
                <w:color w:val="000000"/>
                <w:sz w:val="20"/>
                <w:szCs w:val="20"/>
              </w:rPr>
            </w:pPr>
            <w:r w:rsidRPr="00B92499">
              <w:rPr>
                <w:rFonts w:ascii="Arial" w:hAnsi="Arial" w:cs="Arial"/>
                <w:color w:val="000000"/>
                <w:sz w:val="20"/>
                <w:szCs w:val="20"/>
              </w:rPr>
              <w:t>99.66</w:t>
            </w:r>
          </w:p>
        </w:tc>
      </w:tr>
      <w:tr w:rsidR="00D424B6" w:rsidRPr="00B92499" w14:paraId="27935A2C" w14:textId="77777777" w:rsidTr="00D424B6">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CDCDED" w14:textId="77777777" w:rsidR="00D424B6" w:rsidRPr="00B92499" w:rsidRDefault="00D424B6" w:rsidP="00A027DB">
            <w:pPr>
              <w:jc w:val="center"/>
              <w:rPr>
                <w:rFonts w:ascii="Arial" w:hAnsi="Arial" w:cs="Arial"/>
                <w:color w:val="000000"/>
                <w:sz w:val="20"/>
                <w:szCs w:val="20"/>
              </w:rPr>
            </w:pPr>
            <w:r w:rsidRPr="00B92499">
              <w:rPr>
                <w:rFonts w:ascii="Arial" w:hAnsi="Arial" w:cs="Arial"/>
                <w:color w:val="000000"/>
                <w:sz w:val="20"/>
                <w:szCs w:val="20"/>
              </w:rPr>
              <w:t>VI</w:t>
            </w:r>
          </w:p>
        </w:tc>
        <w:tc>
          <w:tcPr>
            <w:tcW w:w="0" w:type="auto"/>
            <w:tcBorders>
              <w:top w:val="nil"/>
              <w:left w:val="nil"/>
              <w:bottom w:val="single" w:sz="4" w:space="0" w:color="auto"/>
              <w:right w:val="single" w:sz="4" w:space="0" w:color="auto"/>
            </w:tcBorders>
            <w:shd w:val="clear" w:color="auto" w:fill="auto"/>
            <w:vAlign w:val="center"/>
            <w:hideMark/>
          </w:tcPr>
          <w:p w14:paraId="5861B990" w14:textId="77777777" w:rsidR="00D424B6" w:rsidRPr="00B92499" w:rsidRDefault="00D424B6" w:rsidP="00A027DB">
            <w:pPr>
              <w:rPr>
                <w:rFonts w:ascii="Arial" w:hAnsi="Arial" w:cs="Arial"/>
                <w:color w:val="000000"/>
                <w:sz w:val="20"/>
                <w:szCs w:val="20"/>
              </w:rPr>
            </w:pPr>
            <w:r w:rsidRPr="00B92499">
              <w:rPr>
                <w:rFonts w:ascii="Arial" w:hAnsi="Arial" w:cs="Arial"/>
                <w:color w:val="000000"/>
                <w:sz w:val="20"/>
                <w:szCs w:val="20"/>
              </w:rPr>
              <w:t>Las actas de asamblea.</w:t>
            </w:r>
          </w:p>
        </w:tc>
        <w:tc>
          <w:tcPr>
            <w:tcW w:w="1410" w:type="dxa"/>
            <w:tcBorders>
              <w:top w:val="nil"/>
              <w:left w:val="nil"/>
              <w:bottom w:val="single" w:sz="4" w:space="0" w:color="auto"/>
              <w:right w:val="single" w:sz="4" w:space="0" w:color="auto"/>
            </w:tcBorders>
            <w:shd w:val="clear" w:color="auto" w:fill="auto"/>
            <w:vAlign w:val="center"/>
            <w:hideMark/>
          </w:tcPr>
          <w:p w14:paraId="3818B98E" w14:textId="6913FE37" w:rsidR="00D424B6" w:rsidRPr="00B92499" w:rsidRDefault="00D424B6" w:rsidP="00B254C5">
            <w:pPr>
              <w:jc w:val="center"/>
              <w:rPr>
                <w:rFonts w:ascii="Arial" w:hAnsi="Arial" w:cs="Arial"/>
                <w:color w:val="000000"/>
                <w:sz w:val="20"/>
                <w:szCs w:val="20"/>
              </w:rPr>
            </w:pPr>
            <w:r w:rsidRPr="00B92499">
              <w:rPr>
                <w:rFonts w:ascii="Arial" w:hAnsi="Arial" w:cs="Arial"/>
                <w:color w:val="000000"/>
                <w:sz w:val="20"/>
                <w:szCs w:val="20"/>
              </w:rPr>
              <w:t>99.2</w:t>
            </w:r>
            <w:r w:rsidR="00B254C5" w:rsidRPr="00B92499">
              <w:rPr>
                <w:rFonts w:ascii="Arial" w:hAnsi="Arial" w:cs="Arial"/>
                <w:color w:val="000000"/>
                <w:sz w:val="20"/>
                <w:szCs w:val="20"/>
              </w:rPr>
              <w:t>2</w:t>
            </w:r>
          </w:p>
        </w:tc>
      </w:tr>
    </w:tbl>
    <w:p w14:paraId="5AF71ECD" w14:textId="77777777" w:rsidR="00615A43" w:rsidRPr="00B92499" w:rsidRDefault="00615A43" w:rsidP="00615A43">
      <w:pPr>
        <w:spacing w:before="100" w:beforeAutospacing="1" w:after="100" w:afterAutospacing="1" w:line="360" w:lineRule="auto"/>
        <w:jc w:val="both"/>
        <w:rPr>
          <w:rFonts w:ascii="Arial" w:hAnsi="Arial" w:cs="Arial"/>
        </w:rPr>
      </w:pPr>
    </w:p>
    <w:p w14:paraId="55658FFD" w14:textId="432DF4D8" w:rsidR="000D3657" w:rsidRPr="00B92499" w:rsidRDefault="000D3657" w:rsidP="009F64B5">
      <w:pPr>
        <w:pStyle w:val="Ttulo2"/>
        <w:numPr>
          <w:ilvl w:val="1"/>
          <w:numId w:val="20"/>
        </w:numPr>
        <w:contextualSpacing/>
        <w:jc w:val="both"/>
        <w:rPr>
          <w:rFonts w:ascii="Arial" w:hAnsi="Arial" w:cs="Arial"/>
          <w:b/>
          <w:color w:val="auto"/>
          <w:sz w:val="24"/>
          <w:szCs w:val="24"/>
        </w:rPr>
      </w:pPr>
      <w:bookmarkStart w:id="54" w:name="_Toc23253010"/>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138 y sus respectivas fracciones</w:t>
      </w:r>
      <w:bookmarkEnd w:id="54"/>
    </w:p>
    <w:p w14:paraId="3451BDDE" w14:textId="2E918A2B" w:rsidR="00615A43" w:rsidRPr="00B92499" w:rsidRDefault="00615A43" w:rsidP="00615A43">
      <w:pPr>
        <w:spacing w:before="100" w:beforeAutospacing="1" w:after="100" w:afterAutospacing="1" w:line="360" w:lineRule="auto"/>
        <w:contextualSpacing/>
        <w:jc w:val="both"/>
        <w:rPr>
          <w:rFonts w:ascii="Arial" w:hAnsi="Arial" w:cs="Arial"/>
        </w:rPr>
      </w:pPr>
      <w:r w:rsidRPr="00B92499">
        <w:rPr>
          <w:rFonts w:ascii="Arial" w:hAnsi="Arial" w:cs="Arial"/>
        </w:rPr>
        <w:t>El sindicato obtuvo un ICP en este artículo de 79.57%, por lo que se encuentra dentro del área de cumplimiento parcial. Lo anterior se debió a que de las</w:t>
      </w:r>
      <w:r w:rsidR="000D67A7" w:rsidRPr="00B92499">
        <w:rPr>
          <w:rFonts w:ascii="Arial" w:hAnsi="Arial" w:cs="Arial"/>
        </w:rPr>
        <w:t xml:space="preserve"> 4 </w:t>
      </w:r>
      <w:r w:rsidRPr="00B92499">
        <w:rPr>
          <w:rFonts w:ascii="Arial" w:hAnsi="Arial" w:cs="Arial"/>
        </w:rPr>
        <w:t>fracciones que les son aplicables, en</w:t>
      </w:r>
      <w:r w:rsidR="000D67A7" w:rsidRPr="00B92499">
        <w:rPr>
          <w:rFonts w:ascii="Arial" w:hAnsi="Arial" w:cs="Arial"/>
        </w:rPr>
        <w:t xml:space="preserve"> 3 </w:t>
      </w:r>
      <w:r w:rsidRPr="00B92499">
        <w:rPr>
          <w:rFonts w:ascii="Arial" w:hAnsi="Arial" w:cs="Arial"/>
        </w:rPr>
        <w:t xml:space="preserve">alcanzó un cumplimiento total de 100%, y en una fracción obtuvo un incumplimiento total. </w:t>
      </w:r>
    </w:p>
    <w:p w14:paraId="3EEDC923" w14:textId="77777777" w:rsidR="00615A43" w:rsidRPr="00B92499" w:rsidRDefault="00615A43" w:rsidP="00615A43">
      <w:pPr>
        <w:spacing w:before="100" w:beforeAutospacing="1" w:after="100" w:afterAutospacing="1" w:line="360" w:lineRule="auto"/>
        <w:contextualSpacing/>
        <w:jc w:val="both"/>
        <w:rPr>
          <w:rFonts w:ascii="Arial" w:hAnsi="Arial" w:cs="Arial"/>
        </w:rPr>
      </w:pPr>
    </w:p>
    <w:p w14:paraId="434A153D" w14:textId="30CBB7F0" w:rsidR="00F55D12" w:rsidRPr="00B92499" w:rsidRDefault="00615A43" w:rsidP="00615A43">
      <w:pPr>
        <w:spacing w:before="100" w:beforeAutospacing="1" w:after="100" w:afterAutospacing="1" w:line="360" w:lineRule="auto"/>
        <w:contextualSpacing/>
        <w:jc w:val="both"/>
        <w:rPr>
          <w:rFonts w:ascii="Arial" w:hAnsi="Arial" w:cs="Arial"/>
        </w:rPr>
      </w:pPr>
      <w:r w:rsidRPr="00B92499">
        <w:rPr>
          <w:rFonts w:ascii="Arial" w:hAnsi="Arial" w:cs="Arial"/>
        </w:rPr>
        <w:t xml:space="preserve">En esta línea, </w:t>
      </w:r>
      <w:r w:rsidR="00F55D12" w:rsidRPr="00B92499">
        <w:rPr>
          <w:rFonts w:ascii="Arial" w:hAnsi="Arial" w:cs="Arial"/>
        </w:rPr>
        <w:t xml:space="preserve">la fracción IV obtuvo un ICP de 28.37%, en la cual se mandata la publicación de la relación detallada de los recursos públicos económicos, en especie, bienes o donativos que reciban y el informe detallado del ejercicio y destino final de los recursos públicos que ejerzan. El área de oportunidad del </w:t>
      </w:r>
      <w:r w:rsidR="008710F6" w:rsidRPr="00B92499">
        <w:rPr>
          <w:rFonts w:ascii="Arial" w:hAnsi="Arial" w:cs="Arial"/>
        </w:rPr>
        <w:t>sujeto obligado</w:t>
      </w:r>
      <w:r w:rsidR="00F55D12" w:rsidRPr="00B92499">
        <w:rPr>
          <w:rFonts w:ascii="Arial" w:hAnsi="Arial" w:cs="Arial"/>
        </w:rPr>
        <w:t xml:space="preserve"> consta</w:t>
      </w:r>
      <w:r w:rsidR="00D424B6" w:rsidRPr="00B92499">
        <w:rPr>
          <w:rFonts w:ascii="Arial" w:hAnsi="Arial" w:cs="Arial"/>
        </w:rPr>
        <w:t xml:space="preserve"> en realizar la publicación y actualización de información correspondiente al primer semestre del año 2019. </w:t>
      </w:r>
    </w:p>
    <w:p w14:paraId="0C1D909E" w14:textId="77777777" w:rsidR="00F55D12" w:rsidRPr="00B92499" w:rsidRDefault="00F55D12" w:rsidP="00615A43">
      <w:pPr>
        <w:spacing w:before="100" w:beforeAutospacing="1" w:after="100" w:afterAutospacing="1" w:line="360" w:lineRule="auto"/>
        <w:contextualSpacing/>
        <w:jc w:val="both"/>
        <w:rPr>
          <w:rFonts w:ascii="Arial" w:hAnsi="Arial" w:cs="Arial"/>
        </w:rPr>
      </w:pPr>
    </w:p>
    <w:p w14:paraId="130B6065" w14:textId="20F14611" w:rsidR="00735992" w:rsidRPr="00B92499" w:rsidRDefault="00735992" w:rsidP="00615A43">
      <w:pPr>
        <w:spacing w:before="100" w:beforeAutospacing="1" w:after="100" w:afterAutospacing="1" w:line="360" w:lineRule="auto"/>
        <w:jc w:val="both"/>
        <w:rPr>
          <w:rFonts w:ascii="Arial" w:hAnsi="Arial" w:cs="Arial"/>
        </w:rPr>
      </w:pPr>
      <w:r w:rsidRPr="00B92499">
        <w:rPr>
          <w:rFonts w:ascii="Arial" w:hAnsi="Arial" w:cs="Arial"/>
        </w:rPr>
        <w:t>Con el objetivo de mostrar con mayor detalle el ICP de cada fracción del artículo 138 es presentada la siguiente tabla ordenada de forma descendente.</w:t>
      </w:r>
    </w:p>
    <w:tbl>
      <w:tblPr>
        <w:tblW w:w="8930" w:type="dxa"/>
        <w:tblCellMar>
          <w:left w:w="70" w:type="dxa"/>
          <w:right w:w="70" w:type="dxa"/>
        </w:tblCellMar>
        <w:tblLook w:val="04A0" w:firstRow="1" w:lastRow="0" w:firstColumn="1" w:lastColumn="0" w:noHBand="0" w:noVBand="1"/>
      </w:tblPr>
      <w:tblGrid>
        <w:gridCol w:w="974"/>
        <w:gridCol w:w="7072"/>
        <w:gridCol w:w="884"/>
      </w:tblGrid>
      <w:tr w:rsidR="00615A43" w:rsidRPr="00B92499" w14:paraId="4ABD2FAB" w14:textId="77777777" w:rsidTr="00F55D12">
        <w:trPr>
          <w:trHeight w:val="20"/>
          <w:tblHeader/>
        </w:trPr>
        <w:tc>
          <w:tcPr>
            <w:tcW w:w="8930" w:type="dxa"/>
            <w:gridSpan w:val="3"/>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3A9F8DE" w14:textId="3DA41EDB"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lastRenderedPageBreak/>
              <w:t>Artículo 13</w:t>
            </w:r>
            <w:r w:rsidR="00F55D12" w:rsidRPr="00B92499">
              <w:rPr>
                <w:rFonts w:ascii="Arial" w:hAnsi="Arial" w:cs="Arial"/>
                <w:b/>
                <w:bCs/>
                <w:color w:val="000000"/>
                <w:sz w:val="20"/>
                <w:szCs w:val="20"/>
              </w:rPr>
              <w:t>8</w:t>
            </w:r>
            <w:r w:rsidRPr="00B92499">
              <w:rPr>
                <w:rFonts w:ascii="Arial" w:hAnsi="Arial" w:cs="Arial"/>
                <w:b/>
                <w:bCs/>
                <w:color w:val="000000"/>
                <w:sz w:val="20"/>
                <w:szCs w:val="20"/>
              </w:rPr>
              <w:t xml:space="preserve"> de las </w:t>
            </w:r>
            <w:r w:rsidR="008710F6" w:rsidRPr="00B92499">
              <w:rPr>
                <w:rFonts w:ascii="Arial" w:hAnsi="Arial" w:cs="Arial"/>
                <w:b/>
                <w:bCs/>
                <w:color w:val="000000"/>
                <w:sz w:val="20"/>
                <w:szCs w:val="20"/>
              </w:rPr>
              <w:t>obligaciones de transparencia</w:t>
            </w:r>
            <w:r w:rsidRPr="00B92499">
              <w:rPr>
                <w:rFonts w:ascii="Arial" w:hAnsi="Arial" w:cs="Arial"/>
                <w:b/>
                <w:bCs/>
                <w:color w:val="000000"/>
                <w:sz w:val="20"/>
                <w:szCs w:val="20"/>
              </w:rPr>
              <w:t xml:space="preserve"> específicas</w:t>
            </w:r>
          </w:p>
        </w:tc>
      </w:tr>
      <w:tr w:rsidR="00615A43" w:rsidRPr="00B92499" w14:paraId="30AD872C" w14:textId="77777777" w:rsidTr="00F55D12">
        <w:trPr>
          <w:trHeight w:val="20"/>
          <w:tblHeader/>
        </w:trPr>
        <w:tc>
          <w:tcPr>
            <w:tcW w:w="0" w:type="auto"/>
            <w:tcBorders>
              <w:top w:val="nil"/>
              <w:left w:val="single" w:sz="4" w:space="0" w:color="auto"/>
              <w:bottom w:val="single" w:sz="4" w:space="0" w:color="auto"/>
              <w:right w:val="single" w:sz="4" w:space="0" w:color="auto"/>
            </w:tcBorders>
            <w:shd w:val="clear" w:color="auto" w:fill="00B0F0"/>
            <w:noWrap/>
            <w:vAlign w:val="center"/>
            <w:hideMark/>
          </w:tcPr>
          <w:p w14:paraId="56DA96D9"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Fracción</w:t>
            </w:r>
          </w:p>
        </w:tc>
        <w:tc>
          <w:tcPr>
            <w:tcW w:w="0" w:type="auto"/>
            <w:tcBorders>
              <w:top w:val="nil"/>
              <w:left w:val="nil"/>
              <w:bottom w:val="single" w:sz="4" w:space="0" w:color="auto"/>
              <w:right w:val="single" w:sz="4" w:space="0" w:color="auto"/>
            </w:tcBorders>
            <w:shd w:val="clear" w:color="auto" w:fill="00B0F0"/>
            <w:noWrap/>
            <w:vAlign w:val="center"/>
            <w:hideMark/>
          </w:tcPr>
          <w:p w14:paraId="1AD9F9F8"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Resumen de la Fracción</w:t>
            </w:r>
          </w:p>
        </w:tc>
        <w:tc>
          <w:tcPr>
            <w:tcW w:w="1308" w:type="dxa"/>
            <w:tcBorders>
              <w:top w:val="nil"/>
              <w:left w:val="nil"/>
              <w:bottom w:val="single" w:sz="4" w:space="0" w:color="auto"/>
              <w:right w:val="single" w:sz="4" w:space="0" w:color="auto"/>
            </w:tcBorders>
            <w:shd w:val="clear" w:color="auto" w:fill="00B0F0"/>
            <w:vAlign w:val="center"/>
            <w:hideMark/>
          </w:tcPr>
          <w:p w14:paraId="37577197" w14:textId="77777777" w:rsidR="00615A43" w:rsidRPr="00B92499" w:rsidRDefault="00615A43" w:rsidP="00A027DB">
            <w:pPr>
              <w:jc w:val="center"/>
              <w:rPr>
                <w:rFonts w:ascii="Arial" w:hAnsi="Arial" w:cs="Arial"/>
                <w:b/>
                <w:bCs/>
                <w:color w:val="000000"/>
                <w:sz w:val="20"/>
                <w:szCs w:val="20"/>
              </w:rPr>
            </w:pPr>
            <w:r w:rsidRPr="00B92499">
              <w:rPr>
                <w:rFonts w:ascii="Arial" w:hAnsi="Arial" w:cs="Arial"/>
                <w:b/>
                <w:bCs/>
                <w:color w:val="000000"/>
                <w:sz w:val="20"/>
                <w:szCs w:val="20"/>
              </w:rPr>
              <w:t>ICP</w:t>
            </w:r>
          </w:p>
        </w:tc>
      </w:tr>
      <w:tr w:rsidR="00D424B6" w:rsidRPr="00B92499" w14:paraId="0072D170" w14:textId="77777777" w:rsidTr="00F55D1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276A3F"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I</w:t>
            </w:r>
          </w:p>
        </w:tc>
        <w:tc>
          <w:tcPr>
            <w:tcW w:w="0" w:type="auto"/>
            <w:tcBorders>
              <w:top w:val="nil"/>
              <w:left w:val="nil"/>
              <w:bottom w:val="single" w:sz="4" w:space="0" w:color="auto"/>
              <w:right w:val="single" w:sz="4" w:space="0" w:color="auto"/>
            </w:tcBorders>
            <w:shd w:val="clear" w:color="auto" w:fill="auto"/>
            <w:vAlign w:val="center"/>
            <w:hideMark/>
          </w:tcPr>
          <w:p w14:paraId="5F239C65" w14:textId="77777777" w:rsidR="00F55D12" w:rsidRPr="00B92499" w:rsidRDefault="00F55D12">
            <w:pPr>
              <w:rPr>
                <w:rFonts w:ascii="Arial" w:hAnsi="Arial" w:cs="Arial"/>
                <w:color w:val="000000"/>
                <w:sz w:val="20"/>
                <w:szCs w:val="20"/>
              </w:rPr>
            </w:pPr>
            <w:r w:rsidRPr="00B92499">
              <w:rPr>
                <w:rFonts w:ascii="Arial" w:hAnsi="Arial" w:cs="Arial"/>
                <w:color w:val="000000"/>
                <w:sz w:val="20"/>
                <w:szCs w:val="20"/>
              </w:rPr>
              <w:t>Contratos y convenios entre sindicatos y autoridades</w:t>
            </w:r>
          </w:p>
        </w:tc>
        <w:tc>
          <w:tcPr>
            <w:tcW w:w="1308" w:type="dxa"/>
            <w:tcBorders>
              <w:top w:val="nil"/>
              <w:left w:val="nil"/>
              <w:bottom w:val="single" w:sz="4" w:space="0" w:color="auto"/>
              <w:right w:val="single" w:sz="4" w:space="0" w:color="auto"/>
            </w:tcBorders>
            <w:shd w:val="clear" w:color="auto" w:fill="auto"/>
            <w:vAlign w:val="center"/>
            <w:hideMark/>
          </w:tcPr>
          <w:p w14:paraId="7433C0A8"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100</w:t>
            </w:r>
          </w:p>
        </w:tc>
      </w:tr>
      <w:tr w:rsidR="00F55D12" w:rsidRPr="00B92499" w14:paraId="07BACF00" w14:textId="77777777" w:rsidTr="00F55D1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D97873"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II</w:t>
            </w:r>
          </w:p>
        </w:tc>
        <w:tc>
          <w:tcPr>
            <w:tcW w:w="0" w:type="auto"/>
            <w:tcBorders>
              <w:top w:val="nil"/>
              <w:left w:val="nil"/>
              <w:bottom w:val="single" w:sz="4" w:space="0" w:color="auto"/>
              <w:right w:val="single" w:sz="4" w:space="0" w:color="auto"/>
            </w:tcBorders>
            <w:shd w:val="clear" w:color="auto" w:fill="auto"/>
            <w:vAlign w:val="center"/>
            <w:hideMark/>
          </w:tcPr>
          <w:p w14:paraId="64EEA78C" w14:textId="77777777" w:rsidR="00F55D12" w:rsidRPr="00B92499" w:rsidRDefault="00F55D12">
            <w:pPr>
              <w:rPr>
                <w:rFonts w:ascii="Arial" w:hAnsi="Arial" w:cs="Arial"/>
                <w:color w:val="000000"/>
                <w:sz w:val="20"/>
                <w:szCs w:val="20"/>
              </w:rPr>
            </w:pPr>
            <w:r w:rsidRPr="00B92499">
              <w:rPr>
                <w:rFonts w:ascii="Arial" w:hAnsi="Arial" w:cs="Arial"/>
                <w:color w:val="000000"/>
                <w:sz w:val="20"/>
                <w:szCs w:val="20"/>
              </w:rPr>
              <w:t>El directorio del Comité Ejecutivo; estatal, seccional o local</w:t>
            </w:r>
          </w:p>
        </w:tc>
        <w:tc>
          <w:tcPr>
            <w:tcW w:w="1308" w:type="dxa"/>
            <w:tcBorders>
              <w:top w:val="nil"/>
              <w:left w:val="nil"/>
              <w:bottom w:val="single" w:sz="4" w:space="0" w:color="auto"/>
              <w:right w:val="single" w:sz="4" w:space="0" w:color="auto"/>
            </w:tcBorders>
            <w:shd w:val="clear" w:color="auto" w:fill="auto"/>
            <w:vAlign w:val="center"/>
            <w:hideMark/>
          </w:tcPr>
          <w:p w14:paraId="329E8E03"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100</w:t>
            </w:r>
          </w:p>
        </w:tc>
      </w:tr>
      <w:tr w:rsidR="00F55D12" w:rsidRPr="00B92499" w14:paraId="62D58CD9" w14:textId="77777777" w:rsidTr="00F55D1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A3F889"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III</w:t>
            </w:r>
          </w:p>
        </w:tc>
        <w:tc>
          <w:tcPr>
            <w:tcW w:w="0" w:type="auto"/>
            <w:tcBorders>
              <w:top w:val="nil"/>
              <w:left w:val="nil"/>
              <w:bottom w:val="single" w:sz="4" w:space="0" w:color="auto"/>
              <w:right w:val="single" w:sz="4" w:space="0" w:color="auto"/>
            </w:tcBorders>
            <w:shd w:val="clear" w:color="auto" w:fill="auto"/>
            <w:vAlign w:val="center"/>
            <w:hideMark/>
          </w:tcPr>
          <w:p w14:paraId="418268D3" w14:textId="77777777" w:rsidR="00F55D12" w:rsidRPr="00B92499" w:rsidRDefault="00F55D12">
            <w:pPr>
              <w:rPr>
                <w:rFonts w:ascii="Arial" w:hAnsi="Arial" w:cs="Arial"/>
                <w:color w:val="000000"/>
                <w:sz w:val="20"/>
                <w:szCs w:val="20"/>
              </w:rPr>
            </w:pPr>
            <w:r w:rsidRPr="00B92499">
              <w:rPr>
                <w:rFonts w:ascii="Arial" w:hAnsi="Arial" w:cs="Arial"/>
                <w:color w:val="000000"/>
                <w:sz w:val="20"/>
                <w:szCs w:val="20"/>
              </w:rPr>
              <w:t>El padrón de socios, o agremiados; y</w:t>
            </w:r>
          </w:p>
        </w:tc>
        <w:tc>
          <w:tcPr>
            <w:tcW w:w="1308" w:type="dxa"/>
            <w:tcBorders>
              <w:top w:val="nil"/>
              <w:left w:val="nil"/>
              <w:bottom w:val="single" w:sz="4" w:space="0" w:color="auto"/>
              <w:right w:val="single" w:sz="4" w:space="0" w:color="auto"/>
            </w:tcBorders>
            <w:shd w:val="clear" w:color="auto" w:fill="auto"/>
            <w:vAlign w:val="center"/>
            <w:hideMark/>
          </w:tcPr>
          <w:p w14:paraId="42FC4450"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100</w:t>
            </w:r>
          </w:p>
        </w:tc>
      </w:tr>
      <w:tr w:rsidR="00F55D12" w:rsidRPr="00B92499" w14:paraId="60438608" w14:textId="77777777" w:rsidTr="00F55D1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894E3A" w14:textId="77777777" w:rsidR="00F55D12" w:rsidRPr="00B92499" w:rsidRDefault="00F55D12">
            <w:pPr>
              <w:jc w:val="center"/>
              <w:rPr>
                <w:rFonts w:ascii="Arial" w:hAnsi="Arial" w:cs="Arial"/>
                <w:color w:val="000000"/>
                <w:sz w:val="20"/>
                <w:szCs w:val="20"/>
              </w:rPr>
            </w:pPr>
            <w:r w:rsidRPr="00B92499">
              <w:rPr>
                <w:rFonts w:ascii="Arial" w:hAnsi="Arial" w:cs="Arial"/>
                <w:color w:val="000000"/>
                <w:sz w:val="20"/>
                <w:szCs w:val="20"/>
              </w:rPr>
              <w:t>IV</w:t>
            </w:r>
          </w:p>
        </w:tc>
        <w:tc>
          <w:tcPr>
            <w:tcW w:w="0" w:type="auto"/>
            <w:tcBorders>
              <w:top w:val="nil"/>
              <w:left w:val="nil"/>
              <w:bottom w:val="single" w:sz="4" w:space="0" w:color="auto"/>
              <w:right w:val="single" w:sz="4" w:space="0" w:color="auto"/>
            </w:tcBorders>
            <w:shd w:val="clear" w:color="auto" w:fill="auto"/>
            <w:vAlign w:val="center"/>
            <w:hideMark/>
          </w:tcPr>
          <w:p w14:paraId="6F8AE866" w14:textId="77777777" w:rsidR="00F55D12" w:rsidRPr="00B92499" w:rsidRDefault="00F55D12">
            <w:pPr>
              <w:rPr>
                <w:rFonts w:ascii="Arial" w:hAnsi="Arial" w:cs="Arial"/>
                <w:color w:val="000000"/>
                <w:sz w:val="20"/>
                <w:szCs w:val="20"/>
              </w:rPr>
            </w:pPr>
            <w:r w:rsidRPr="00B92499">
              <w:rPr>
                <w:rFonts w:ascii="Arial" w:hAnsi="Arial" w:cs="Arial"/>
                <w:color w:val="000000"/>
                <w:sz w:val="20"/>
                <w:szCs w:val="20"/>
              </w:rPr>
              <w:t>La relación detallada de los recursos públicos económicos, en especie, bienes o donativos que reciban y el informe detallado del ejercicio y destino final de los recursos públicos que ejerzan</w:t>
            </w:r>
          </w:p>
        </w:tc>
        <w:tc>
          <w:tcPr>
            <w:tcW w:w="1308" w:type="dxa"/>
            <w:tcBorders>
              <w:top w:val="nil"/>
              <w:left w:val="nil"/>
              <w:bottom w:val="single" w:sz="4" w:space="0" w:color="auto"/>
              <w:right w:val="single" w:sz="4" w:space="0" w:color="auto"/>
            </w:tcBorders>
            <w:shd w:val="clear" w:color="auto" w:fill="auto"/>
            <w:vAlign w:val="center"/>
            <w:hideMark/>
          </w:tcPr>
          <w:p w14:paraId="3F028F62" w14:textId="5BA2AE7D" w:rsidR="00F55D12" w:rsidRPr="00B92499" w:rsidRDefault="00F55D12" w:rsidP="00B254C5">
            <w:pPr>
              <w:jc w:val="center"/>
              <w:rPr>
                <w:rFonts w:ascii="Arial" w:hAnsi="Arial" w:cs="Arial"/>
                <w:color w:val="000000"/>
                <w:sz w:val="20"/>
                <w:szCs w:val="20"/>
              </w:rPr>
            </w:pPr>
            <w:r w:rsidRPr="00B92499">
              <w:rPr>
                <w:rFonts w:ascii="Arial" w:hAnsi="Arial" w:cs="Arial"/>
                <w:color w:val="000000"/>
                <w:sz w:val="20"/>
                <w:szCs w:val="20"/>
              </w:rPr>
              <w:t>28.3</w:t>
            </w:r>
            <w:r w:rsidR="00B254C5" w:rsidRPr="00B92499">
              <w:rPr>
                <w:rFonts w:ascii="Arial" w:hAnsi="Arial" w:cs="Arial"/>
                <w:color w:val="000000"/>
                <w:sz w:val="20"/>
                <w:szCs w:val="20"/>
              </w:rPr>
              <w:t>8</w:t>
            </w:r>
          </w:p>
        </w:tc>
      </w:tr>
    </w:tbl>
    <w:p w14:paraId="7C079EE4" w14:textId="4B677D66" w:rsidR="00735992" w:rsidRPr="00B92499" w:rsidRDefault="00735992" w:rsidP="00D424B6">
      <w:pPr>
        <w:rPr>
          <w:lang w:eastAsia="en-US"/>
        </w:rPr>
      </w:pPr>
    </w:p>
    <w:p w14:paraId="5C429389" w14:textId="77777777" w:rsidR="00735992" w:rsidRPr="00B92499" w:rsidRDefault="00735992" w:rsidP="00D424B6">
      <w:pPr>
        <w:rPr>
          <w:lang w:eastAsia="en-US"/>
        </w:rPr>
      </w:pPr>
    </w:p>
    <w:p w14:paraId="6E34A099" w14:textId="5516D2CA" w:rsidR="000D3657" w:rsidRPr="00B92499" w:rsidRDefault="000D3657" w:rsidP="009F64B5">
      <w:pPr>
        <w:pStyle w:val="Ttulo2"/>
        <w:numPr>
          <w:ilvl w:val="1"/>
          <w:numId w:val="20"/>
        </w:numPr>
        <w:contextualSpacing/>
        <w:jc w:val="both"/>
        <w:rPr>
          <w:rFonts w:ascii="Arial" w:hAnsi="Arial" w:cs="Arial"/>
          <w:b/>
          <w:color w:val="auto"/>
          <w:sz w:val="24"/>
          <w:szCs w:val="24"/>
        </w:rPr>
      </w:pPr>
      <w:bookmarkStart w:id="55" w:name="_Toc23253011"/>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145</w:t>
      </w:r>
      <w:bookmarkEnd w:id="55"/>
    </w:p>
    <w:p w14:paraId="74020BC2" w14:textId="761A8589" w:rsidR="008D44C3" w:rsidRPr="00B92499" w:rsidRDefault="00D139A1" w:rsidP="002E7D47">
      <w:pPr>
        <w:spacing w:before="100" w:beforeAutospacing="1" w:after="100" w:afterAutospacing="1" w:line="360" w:lineRule="auto"/>
        <w:contextualSpacing/>
        <w:jc w:val="both"/>
        <w:rPr>
          <w:rFonts w:ascii="Arial" w:hAnsi="Arial" w:cs="Arial"/>
        </w:rPr>
      </w:pPr>
      <w:r w:rsidRPr="00B92499">
        <w:rPr>
          <w:rFonts w:ascii="Arial" w:hAnsi="Arial" w:cs="Arial"/>
        </w:rPr>
        <w:t xml:space="preserve">El sindicato obtuvo un ICP en este artículo de </w:t>
      </w:r>
      <w:r w:rsidR="00F55D12" w:rsidRPr="00B92499">
        <w:rPr>
          <w:rFonts w:ascii="Arial" w:hAnsi="Arial" w:cs="Arial"/>
        </w:rPr>
        <w:t>93.75</w:t>
      </w:r>
      <w:r w:rsidR="000D3657" w:rsidRPr="00B92499">
        <w:rPr>
          <w:rFonts w:ascii="Arial" w:hAnsi="Arial" w:cs="Arial"/>
        </w:rPr>
        <w:t>%; por lo que se encuentra dentro del área de cumplimiento parcial. Lo anterior se debió a que</w:t>
      </w:r>
      <w:r w:rsidRPr="00B92499">
        <w:rPr>
          <w:rFonts w:ascii="Arial" w:hAnsi="Arial" w:cs="Arial"/>
        </w:rPr>
        <w:t xml:space="preserve"> algunos de los accesos directos que llevan a la información dentro del portal de internet del </w:t>
      </w:r>
      <w:r w:rsidR="008710F6" w:rsidRPr="00B92499">
        <w:rPr>
          <w:rFonts w:ascii="Arial" w:hAnsi="Arial" w:cs="Arial"/>
        </w:rPr>
        <w:t>sujeto obligado</w:t>
      </w:r>
      <w:r w:rsidRPr="00B92499">
        <w:rPr>
          <w:rFonts w:ascii="Arial" w:hAnsi="Arial" w:cs="Arial"/>
        </w:rPr>
        <w:t xml:space="preserve"> están rotos o no se encuentran activos. </w:t>
      </w:r>
    </w:p>
    <w:p w14:paraId="0D8A0D30" w14:textId="67A184CB" w:rsidR="008D44C3" w:rsidRPr="00B92499" w:rsidRDefault="000D3657" w:rsidP="009F64B5">
      <w:pPr>
        <w:pStyle w:val="Ttulo2"/>
        <w:numPr>
          <w:ilvl w:val="1"/>
          <w:numId w:val="20"/>
        </w:numPr>
        <w:contextualSpacing/>
        <w:jc w:val="both"/>
        <w:rPr>
          <w:rFonts w:ascii="Arial" w:hAnsi="Arial" w:cs="Arial"/>
          <w:b/>
          <w:color w:val="auto"/>
          <w:sz w:val="24"/>
          <w:szCs w:val="24"/>
        </w:rPr>
      </w:pPr>
      <w:bookmarkStart w:id="56" w:name="_Toc23253012"/>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146</w:t>
      </w:r>
      <w:bookmarkEnd w:id="56"/>
    </w:p>
    <w:p w14:paraId="042899B9" w14:textId="77777777" w:rsidR="00D139A1" w:rsidRPr="00B92499" w:rsidRDefault="00D139A1" w:rsidP="002E7D47">
      <w:pPr>
        <w:spacing w:before="100" w:beforeAutospacing="1" w:after="100" w:afterAutospacing="1" w:line="360" w:lineRule="auto"/>
        <w:contextualSpacing/>
        <w:jc w:val="both"/>
        <w:rPr>
          <w:rFonts w:ascii="Arial" w:hAnsi="Arial" w:cs="Arial"/>
        </w:rPr>
      </w:pPr>
      <w:r w:rsidRPr="00B92499">
        <w:rPr>
          <w:rFonts w:ascii="Arial" w:hAnsi="Arial" w:cs="Arial"/>
        </w:rPr>
        <w:t>El sindicato obtuvo un ICP en este artículo de 100%; por lo que se encuentra dentro del área de cumplimiento total en lo que respecta a la publicación del calendario de actualización de las obligaciones de transparencia.</w:t>
      </w:r>
    </w:p>
    <w:p w14:paraId="249DF2ED" w14:textId="3A7051CA" w:rsidR="008D44C3" w:rsidRPr="00B92499" w:rsidRDefault="000D3657" w:rsidP="009F64B5">
      <w:pPr>
        <w:pStyle w:val="Ttulo2"/>
        <w:numPr>
          <w:ilvl w:val="1"/>
          <w:numId w:val="20"/>
        </w:numPr>
        <w:contextualSpacing/>
        <w:jc w:val="both"/>
        <w:rPr>
          <w:rFonts w:ascii="Arial" w:hAnsi="Arial" w:cs="Arial"/>
          <w:b/>
          <w:color w:val="auto"/>
          <w:sz w:val="24"/>
          <w:szCs w:val="24"/>
        </w:rPr>
      </w:pPr>
      <w:bookmarkStart w:id="57" w:name="_Toc23253013"/>
      <w:r w:rsidRPr="00B92499">
        <w:rPr>
          <w:rFonts w:ascii="Arial" w:hAnsi="Arial" w:cs="Arial"/>
          <w:b/>
          <w:color w:val="auto"/>
          <w:sz w:val="24"/>
          <w:szCs w:val="24"/>
        </w:rPr>
        <w:t xml:space="preserve">Análisis del </w:t>
      </w:r>
      <w:r w:rsidR="008F67E4" w:rsidRPr="00B92499">
        <w:rPr>
          <w:rFonts w:ascii="Arial" w:hAnsi="Arial" w:cs="Arial"/>
          <w:b/>
          <w:color w:val="auto"/>
          <w:sz w:val="24"/>
          <w:szCs w:val="24"/>
        </w:rPr>
        <w:t>artículo</w:t>
      </w:r>
      <w:r w:rsidRPr="00B92499">
        <w:rPr>
          <w:rFonts w:ascii="Arial" w:hAnsi="Arial" w:cs="Arial"/>
          <w:b/>
          <w:color w:val="auto"/>
          <w:sz w:val="24"/>
          <w:szCs w:val="24"/>
        </w:rPr>
        <w:t xml:space="preserve"> 147</w:t>
      </w:r>
      <w:bookmarkEnd w:id="57"/>
      <w:r w:rsidRPr="00B92499">
        <w:rPr>
          <w:rFonts w:ascii="Arial" w:hAnsi="Arial" w:cs="Arial"/>
          <w:b/>
          <w:color w:val="auto"/>
          <w:sz w:val="24"/>
          <w:szCs w:val="24"/>
        </w:rPr>
        <w:t xml:space="preserve"> </w:t>
      </w:r>
    </w:p>
    <w:p w14:paraId="5A7D21B9" w14:textId="77777777" w:rsidR="001B2F09" w:rsidRPr="00B92499" w:rsidRDefault="00D139A1" w:rsidP="001B2F09">
      <w:pPr>
        <w:spacing w:before="100" w:beforeAutospacing="1" w:after="100" w:afterAutospacing="1" w:line="360" w:lineRule="auto"/>
        <w:contextualSpacing/>
        <w:jc w:val="both"/>
        <w:rPr>
          <w:rFonts w:ascii="Arial" w:hAnsi="Arial" w:cs="Arial"/>
        </w:rPr>
      </w:pPr>
      <w:r w:rsidRPr="00B92499">
        <w:rPr>
          <w:rFonts w:ascii="Arial" w:hAnsi="Arial" w:cs="Arial"/>
        </w:rPr>
        <w:t xml:space="preserve">El sindicato obtuvo un ICP en este artículo de 100%; por lo que se encuentra dentro del área de cumplimiento total en lo que respecta a la publicación </w:t>
      </w:r>
      <w:r w:rsidR="001B2F09" w:rsidRPr="00B92499">
        <w:rPr>
          <w:rFonts w:ascii="Arial" w:hAnsi="Arial" w:cs="Arial"/>
        </w:rPr>
        <w:t xml:space="preserve">de los informes de las personas morales, organizaciones de la sociedad civil o cualquier otro análogo que recibían recursos por cualquier concepto. </w:t>
      </w:r>
    </w:p>
    <w:p w14:paraId="0D8395D2" w14:textId="77777777" w:rsidR="001B2F09" w:rsidRPr="00B92499" w:rsidRDefault="001B2F09">
      <w:pPr>
        <w:spacing w:after="160" w:line="259" w:lineRule="auto"/>
        <w:rPr>
          <w:rFonts w:ascii="Arial" w:eastAsiaTheme="majorEastAsia" w:hAnsi="Arial" w:cs="Arial"/>
          <w:b/>
          <w:lang w:eastAsia="en-US"/>
        </w:rPr>
      </w:pPr>
      <w:r w:rsidRPr="00B92499">
        <w:rPr>
          <w:rFonts w:ascii="Arial" w:hAnsi="Arial" w:cs="Arial"/>
          <w:b/>
        </w:rPr>
        <w:br w:type="page"/>
      </w:r>
    </w:p>
    <w:p w14:paraId="0C174414" w14:textId="77777777" w:rsidR="008D44C3" w:rsidRPr="00B92499" w:rsidRDefault="008D44C3" w:rsidP="001226FE">
      <w:pPr>
        <w:pStyle w:val="Ttulo1"/>
        <w:rPr>
          <w:rFonts w:ascii="Arial" w:hAnsi="Arial" w:cs="Arial"/>
          <w:b/>
          <w:color w:val="auto"/>
          <w:sz w:val="24"/>
          <w:szCs w:val="24"/>
        </w:rPr>
      </w:pPr>
      <w:bookmarkStart w:id="58" w:name="_Toc23253014"/>
      <w:r w:rsidRPr="00B92499">
        <w:rPr>
          <w:rFonts w:ascii="Arial" w:hAnsi="Arial" w:cs="Arial"/>
          <w:b/>
          <w:color w:val="auto"/>
          <w:sz w:val="24"/>
          <w:szCs w:val="24"/>
        </w:rPr>
        <w:lastRenderedPageBreak/>
        <w:t>CONCLUSIONES</w:t>
      </w:r>
      <w:bookmarkEnd w:id="58"/>
      <w:r w:rsidRPr="00B92499">
        <w:rPr>
          <w:rFonts w:ascii="Arial" w:hAnsi="Arial" w:cs="Arial"/>
          <w:b/>
          <w:color w:val="auto"/>
          <w:sz w:val="24"/>
          <w:szCs w:val="24"/>
        </w:rPr>
        <w:t xml:space="preserve"> </w:t>
      </w:r>
    </w:p>
    <w:p w14:paraId="29D4D376" w14:textId="77777777" w:rsidR="00C9398D" w:rsidRPr="00B92499" w:rsidRDefault="00C9398D" w:rsidP="00C9398D"/>
    <w:p w14:paraId="64C11F4C" w14:textId="5CE3257A" w:rsidR="00C9398D" w:rsidRPr="00B92499" w:rsidRDefault="00C9398D" w:rsidP="009F64B5">
      <w:pPr>
        <w:pStyle w:val="Prrafodelista"/>
        <w:numPr>
          <w:ilvl w:val="0"/>
          <w:numId w:val="14"/>
        </w:numPr>
        <w:spacing w:line="360" w:lineRule="auto"/>
        <w:jc w:val="both"/>
        <w:rPr>
          <w:rFonts w:ascii="Arial" w:hAnsi="Arial" w:cs="Arial"/>
          <w:sz w:val="24"/>
          <w:szCs w:val="24"/>
        </w:rPr>
      </w:pPr>
      <w:r w:rsidRPr="00B92499">
        <w:rPr>
          <w:rFonts w:ascii="Arial" w:hAnsi="Arial" w:cs="Arial"/>
          <w:sz w:val="24"/>
          <w:szCs w:val="24"/>
        </w:rPr>
        <w:t>Los sujetos obligados</w:t>
      </w:r>
      <w:r w:rsidR="00114E33" w:rsidRPr="00B92499">
        <w:rPr>
          <w:rFonts w:ascii="Arial" w:hAnsi="Arial" w:cs="Arial"/>
          <w:sz w:val="24"/>
          <w:szCs w:val="24"/>
        </w:rPr>
        <w:t xml:space="preserve"> no publican y actualizan la información, </w:t>
      </w:r>
      <w:r w:rsidRPr="00B92499">
        <w:rPr>
          <w:rFonts w:ascii="Arial" w:hAnsi="Arial" w:cs="Arial"/>
          <w:sz w:val="24"/>
          <w:szCs w:val="24"/>
        </w:rPr>
        <w:t xml:space="preserve">por lo menos, de manera trimestral en atención al artículo 62 de la Ley General de Transparencia y Acceso a la Información Pública y el 116 de la Ley de Transparencia Local. </w:t>
      </w:r>
    </w:p>
    <w:p w14:paraId="5FDA80BF" w14:textId="77777777" w:rsidR="00C9398D" w:rsidRPr="00B92499" w:rsidRDefault="00C9398D" w:rsidP="009F64B5">
      <w:pPr>
        <w:pStyle w:val="Prrafodelista"/>
        <w:numPr>
          <w:ilvl w:val="0"/>
          <w:numId w:val="14"/>
        </w:numPr>
        <w:spacing w:line="360" w:lineRule="auto"/>
        <w:jc w:val="both"/>
        <w:rPr>
          <w:rFonts w:ascii="Arial" w:hAnsi="Arial" w:cs="Arial"/>
          <w:sz w:val="24"/>
          <w:szCs w:val="24"/>
        </w:rPr>
      </w:pPr>
      <w:r w:rsidRPr="00B92499">
        <w:rPr>
          <w:rFonts w:ascii="Arial" w:hAnsi="Arial" w:cs="Arial"/>
          <w:sz w:val="24"/>
          <w:szCs w:val="24"/>
        </w:rPr>
        <w:t>Los sujetos obligados deben publicar el calendario de actualización a través del cual se explica a la sociedad cuál es la información que por sus facultades, competencias y funciones generan, utilizan, poseen o administran y en qué periodos deben publicarla y actualizarla.</w:t>
      </w:r>
    </w:p>
    <w:p w14:paraId="5C8A0CEE" w14:textId="2F5CF0E7" w:rsidR="00C9398D" w:rsidRPr="00B92499" w:rsidRDefault="00C9398D" w:rsidP="009F64B5">
      <w:pPr>
        <w:pStyle w:val="Prrafodelista"/>
        <w:numPr>
          <w:ilvl w:val="0"/>
          <w:numId w:val="14"/>
        </w:numPr>
        <w:spacing w:line="360" w:lineRule="auto"/>
        <w:jc w:val="both"/>
        <w:rPr>
          <w:rFonts w:ascii="Arial" w:hAnsi="Arial" w:cs="Arial"/>
          <w:sz w:val="24"/>
          <w:szCs w:val="24"/>
        </w:rPr>
      </w:pPr>
      <w:r w:rsidRPr="00B92499">
        <w:rPr>
          <w:rFonts w:ascii="Arial" w:hAnsi="Arial" w:cs="Arial"/>
          <w:sz w:val="24"/>
          <w:szCs w:val="24"/>
        </w:rPr>
        <w:t>La información provista en</w:t>
      </w:r>
      <w:r w:rsidR="00114E33" w:rsidRPr="00B92499">
        <w:rPr>
          <w:rFonts w:ascii="Arial" w:hAnsi="Arial" w:cs="Arial"/>
          <w:sz w:val="24"/>
          <w:szCs w:val="24"/>
        </w:rPr>
        <w:t xml:space="preserve"> algunos</w:t>
      </w:r>
      <w:r w:rsidRPr="00B92499">
        <w:rPr>
          <w:rFonts w:ascii="Arial" w:hAnsi="Arial" w:cs="Arial"/>
          <w:sz w:val="24"/>
          <w:szCs w:val="24"/>
        </w:rPr>
        <w:t xml:space="preserve"> portales de transparencia no cuenta con los criterios mínimos dispuestos en lo que se refiere a formatos accesibles y datos abiertos, tales como que sean integrales, legibles, no discriminatorios, oportunos, permanentes y primarios. </w:t>
      </w:r>
    </w:p>
    <w:p w14:paraId="371EF5BB" w14:textId="77777777" w:rsidR="00C9398D" w:rsidRPr="00B92499" w:rsidRDefault="00C9398D" w:rsidP="009F64B5">
      <w:pPr>
        <w:pStyle w:val="Prrafodelista"/>
        <w:numPr>
          <w:ilvl w:val="0"/>
          <w:numId w:val="14"/>
        </w:numPr>
        <w:spacing w:line="360" w:lineRule="auto"/>
        <w:jc w:val="both"/>
        <w:rPr>
          <w:rFonts w:ascii="Arial" w:hAnsi="Arial" w:cs="Arial"/>
          <w:sz w:val="24"/>
          <w:szCs w:val="24"/>
        </w:rPr>
      </w:pPr>
      <w:r w:rsidRPr="00B92499">
        <w:rPr>
          <w:rFonts w:ascii="Arial" w:hAnsi="Arial" w:cs="Arial"/>
          <w:sz w:val="24"/>
          <w:szCs w:val="24"/>
        </w:rPr>
        <w:t>Los sujetos obligados deben publicar la información en un lenguaje sencillo y con perspectiva de género, haciendo uso de formatos accesibles y abiertos.</w:t>
      </w:r>
    </w:p>
    <w:p w14:paraId="39C5D6A8" w14:textId="77777777" w:rsidR="00C9398D" w:rsidRPr="00B92499" w:rsidRDefault="00C9398D" w:rsidP="009F64B5">
      <w:pPr>
        <w:pStyle w:val="Prrafodelista"/>
        <w:numPr>
          <w:ilvl w:val="0"/>
          <w:numId w:val="14"/>
        </w:numPr>
        <w:spacing w:line="360" w:lineRule="auto"/>
        <w:jc w:val="both"/>
        <w:rPr>
          <w:rFonts w:ascii="Arial" w:hAnsi="Arial" w:cs="Arial"/>
          <w:sz w:val="24"/>
          <w:szCs w:val="24"/>
        </w:rPr>
      </w:pPr>
      <w:r w:rsidRPr="00B92499">
        <w:rPr>
          <w:rFonts w:ascii="Arial" w:hAnsi="Arial" w:cs="Arial"/>
          <w:sz w:val="24"/>
          <w:szCs w:val="24"/>
        </w:rPr>
        <w:t xml:space="preserve">Las ligas electrónicas no siempre otorgan acceso específico a la información mencionada o simplemente no están en funcionamiento. </w:t>
      </w:r>
    </w:p>
    <w:p w14:paraId="75C8CF0F" w14:textId="77777777" w:rsidR="00C9398D" w:rsidRPr="00B92499" w:rsidRDefault="00C9398D" w:rsidP="00C9398D">
      <w:pPr>
        <w:spacing w:line="360" w:lineRule="auto"/>
        <w:contextualSpacing/>
        <w:jc w:val="both"/>
        <w:rPr>
          <w:rFonts w:ascii="Arial" w:hAnsi="Arial" w:cs="Arial"/>
          <w:b/>
          <w:bCs/>
        </w:rPr>
      </w:pPr>
      <w:r w:rsidRPr="00B92499">
        <w:rPr>
          <w:rFonts w:ascii="Arial" w:hAnsi="Arial" w:cs="Arial"/>
          <w:b/>
          <w:bCs/>
        </w:rPr>
        <w:t>LÍNEAS DE ACCIÓN</w:t>
      </w:r>
    </w:p>
    <w:p w14:paraId="33BC5F19" w14:textId="77777777"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Se realizará la evaluación del cumplimiento de lo mandatado en la Segunda Evaluación 2019, respecto del primer semestre del ejercicio 2019 durante el cuarto trimestre del año 2019.</w:t>
      </w:r>
    </w:p>
    <w:p w14:paraId="5C99043E" w14:textId="4BE890AF"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Se continuará brindando a los sujetos obligados Asesorías Técnicas Especializadas respecto de la publicación y actualización de las obligaciones de transparencia. En noviembre se realizará una con todos los sujetos obligado</w:t>
      </w:r>
      <w:r w:rsidR="005D21D2" w:rsidRPr="00B92499">
        <w:rPr>
          <w:rFonts w:ascii="Arial" w:hAnsi="Arial" w:cs="Arial"/>
          <w:sz w:val="24"/>
          <w:szCs w:val="24"/>
        </w:rPr>
        <w:t>s</w:t>
      </w:r>
      <w:r w:rsidRPr="00B92499">
        <w:rPr>
          <w:rFonts w:ascii="Arial" w:hAnsi="Arial" w:cs="Arial"/>
          <w:sz w:val="24"/>
          <w:szCs w:val="24"/>
        </w:rPr>
        <w:t xml:space="preserve"> que integran el Padrón vigente.</w:t>
      </w:r>
    </w:p>
    <w:p w14:paraId="7544A745" w14:textId="77777777"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Se buscará aprovechar las lecciones de esta evaluación para subsanar, en el corto plazo, las omisiones detectadas, consistentes en:</w:t>
      </w:r>
    </w:p>
    <w:p w14:paraId="65D1FFB8" w14:textId="77777777" w:rsidR="00C9398D" w:rsidRPr="00B92499" w:rsidRDefault="00C9398D" w:rsidP="00C9398D">
      <w:pPr>
        <w:pStyle w:val="Prrafodelista"/>
        <w:rPr>
          <w:rFonts w:ascii="Arial" w:hAnsi="Arial" w:cs="Arial"/>
          <w:sz w:val="24"/>
          <w:szCs w:val="24"/>
        </w:rPr>
      </w:pPr>
    </w:p>
    <w:p w14:paraId="444C2736" w14:textId="77777777" w:rsidR="00C9398D" w:rsidRPr="00B92499" w:rsidRDefault="00C9398D" w:rsidP="009F64B5">
      <w:pPr>
        <w:pStyle w:val="Prrafodelista"/>
        <w:numPr>
          <w:ilvl w:val="1"/>
          <w:numId w:val="15"/>
        </w:numPr>
        <w:spacing w:line="360" w:lineRule="auto"/>
        <w:jc w:val="both"/>
        <w:rPr>
          <w:rFonts w:ascii="Arial" w:hAnsi="Arial" w:cs="Arial"/>
          <w:sz w:val="24"/>
          <w:szCs w:val="24"/>
        </w:rPr>
      </w:pPr>
      <w:r w:rsidRPr="00B92499">
        <w:rPr>
          <w:rFonts w:ascii="Arial" w:hAnsi="Arial" w:cs="Arial"/>
          <w:sz w:val="24"/>
          <w:szCs w:val="24"/>
        </w:rPr>
        <w:t xml:space="preserve">La importancia de que los sujetos obligados participen en las asesorías técnicas especializadas, con el objetivo de que éstos </w:t>
      </w:r>
      <w:r w:rsidRPr="00B92499">
        <w:rPr>
          <w:rFonts w:ascii="Arial" w:hAnsi="Arial" w:cs="Arial"/>
          <w:sz w:val="24"/>
          <w:szCs w:val="24"/>
        </w:rPr>
        <w:lastRenderedPageBreak/>
        <w:t>puedan subsanar sus dudas respecto de la publicación y actualización de la información.</w:t>
      </w:r>
    </w:p>
    <w:p w14:paraId="388915A3" w14:textId="77777777" w:rsidR="00C9398D" w:rsidRPr="00B92499" w:rsidRDefault="00C9398D" w:rsidP="009F64B5">
      <w:pPr>
        <w:pStyle w:val="Prrafodelista"/>
        <w:numPr>
          <w:ilvl w:val="1"/>
          <w:numId w:val="15"/>
        </w:numPr>
        <w:spacing w:line="360" w:lineRule="auto"/>
        <w:jc w:val="both"/>
        <w:rPr>
          <w:rFonts w:ascii="Arial" w:hAnsi="Arial" w:cs="Arial"/>
          <w:sz w:val="24"/>
          <w:szCs w:val="24"/>
        </w:rPr>
      </w:pPr>
      <w:r w:rsidRPr="00B92499">
        <w:rPr>
          <w:rFonts w:ascii="Arial" w:hAnsi="Arial" w:cs="Arial"/>
          <w:sz w:val="24"/>
          <w:szCs w:val="24"/>
        </w:rPr>
        <w:t>Concientizar a los sujetos obligados respecto de la importancia de utilizar un lenguaje sencillo, con perspectiva de género y plasmar la información en formatos accesibles y abiertos.</w:t>
      </w:r>
    </w:p>
    <w:p w14:paraId="7E0FF1F1" w14:textId="77777777" w:rsidR="00C9398D" w:rsidRPr="00B92499" w:rsidRDefault="00C9398D" w:rsidP="009F64B5">
      <w:pPr>
        <w:pStyle w:val="Prrafodelista"/>
        <w:numPr>
          <w:ilvl w:val="1"/>
          <w:numId w:val="15"/>
        </w:numPr>
        <w:spacing w:line="360" w:lineRule="auto"/>
        <w:jc w:val="both"/>
        <w:rPr>
          <w:rFonts w:ascii="Arial" w:hAnsi="Arial" w:cs="Arial"/>
          <w:sz w:val="24"/>
          <w:szCs w:val="24"/>
        </w:rPr>
      </w:pPr>
      <w:r w:rsidRPr="00B92499">
        <w:rPr>
          <w:rFonts w:ascii="Arial" w:hAnsi="Arial" w:cs="Arial"/>
          <w:sz w:val="24"/>
          <w:szCs w:val="24"/>
        </w:rPr>
        <w:t xml:space="preserve">Crear portales web fáciles de usar y accesibles para los grupos que se encuentren en situación de vulnerabilidad, implementar lectores de página, contrastes de color, temporizador dentro de las ventanas emergentes, entre otras herramientas. </w:t>
      </w:r>
    </w:p>
    <w:p w14:paraId="44C1A1B0" w14:textId="4E896C5E" w:rsidR="00C9398D" w:rsidRPr="00B92499" w:rsidRDefault="00C9398D" w:rsidP="00C9398D">
      <w:pPr>
        <w:spacing w:line="360" w:lineRule="auto"/>
        <w:ind w:left="1080"/>
        <w:jc w:val="both"/>
        <w:rPr>
          <w:rFonts w:ascii="Arial" w:hAnsi="Arial" w:cs="Arial"/>
        </w:rPr>
      </w:pPr>
      <w:r w:rsidRPr="00B92499">
        <w:rPr>
          <w:rFonts w:ascii="Arial" w:hAnsi="Arial" w:cs="Arial"/>
        </w:rPr>
        <w:t>Lo anterior, con el objetivo de asegurar el cumplimiento total de las obligaciones</w:t>
      </w:r>
      <w:r w:rsidR="0046015E" w:rsidRPr="00B92499">
        <w:rPr>
          <w:rFonts w:ascii="Arial" w:hAnsi="Arial" w:cs="Arial"/>
        </w:rPr>
        <w:t xml:space="preserve"> de los sujetos obligados y asegurar que la ciudadanía pueda</w:t>
      </w:r>
      <w:r w:rsidRPr="00B92499">
        <w:rPr>
          <w:rFonts w:ascii="Arial" w:hAnsi="Arial" w:cs="Arial"/>
        </w:rPr>
        <w:t xml:space="preserve"> para que las personas puedan aprovechar la información correspondiente.</w:t>
      </w:r>
    </w:p>
    <w:p w14:paraId="5364AF95" w14:textId="77777777"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 xml:space="preserve">Se buscará promover la transparencia proactiva y la difusión de información de interés público. </w:t>
      </w:r>
    </w:p>
    <w:p w14:paraId="58B0CE61" w14:textId="77777777"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 xml:space="preserve">Como órgano garante, el Instituto promoverá un análisis más detenido de los factores que hicieron posible este resultado, para identificar las buenas prácticas que existen en su trabajo, generar guías, manuales y documentos de buenas prácticas y socializarlas a fin de facilitar que otros sujetos obligados puedan alcanzar el mismo resultado en las próximas evaluaciones. </w:t>
      </w:r>
    </w:p>
    <w:p w14:paraId="11EA449F" w14:textId="77777777" w:rsidR="00C9398D" w:rsidRPr="00B92499" w:rsidRDefault="00C9398D" w:rsidP="009F64B5">
      <w:pPr>
        <w:pStyle w:val="Prrafodelista"/>
        <w:numPr>
          <w:ilvl w:val="0"/>
          <w:numId w:val="15"/>
        </w:numPr>
        <w:spacing w:line="360" w:lineRule="auto"/>
        <w:jc w:val="both"/>
        <w:rPr>
          <w:rFonts w:ascii="Arial" w:hAnsi="Arial" w:cs="Arial"/>
          <w:sz w:val="24"/>
          <w:szCs w:val="24"/>
        </w:rPr>
      </w:pPr>
      <w:r w:rsidRPr="00B92499">
        <w:rPr>
          <w:rFonts w:ascii="Arial" w:hAnsi="Arial" w:cs="Arial"/>
          <w:sz w:val="24"/>
          <w:szCs w:val="24"/>
        </w:rPr>
        <w:t xml:space="preserve">Las áreas de oportunidad que fueron identificadas durante la primera y segunda evaluación serán impactadas en la armonización de los Lineamientos y Metodología de Evaluación que emitirá el Instituto durante el cuarto trimestre del año. </w:t>
      </w:r>
    </w:p>
    <w:p w14:paraId="7615825B" w14:textId="0DDDF435" w:rsidR="006C3FD4" w:rsidRPr="00571554" w:rsidRDefault="006C3FD4" w:rsidP="00571554">
      <w:pPr>
        <w:spacing w:line="360" w:lineRule="auto"/>
        <w:contextualSpacing/>
        <w:jc w:val="both"/>
        <w:rPr>
          <w:rFonts w:ascii="Arial" w:hAnsi="Arial" w:cs="Arial"/>
          <w:lang w:val="es-ES"/>
        </w:rPr>
      </w:pPr>
      <w:bookmarkStart w:id="59" w:name="_GoBack"/>
      <w:bookmarkEnd w:id="59"/>
    </w:p>
    <w:sectPr w:rsidR="006C3FD4" w:rsidRPr="00571554" w:rsidSect="00661F74">
      <w:headerReference w:type="default" r:id="rId9"/>
      <w:footerReference w:type="even" r:id="rId10"/>
      <w:footerReference w:type="default" r:id="rId11"/>
      <w:type w:val="continuous"/>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B1415" w14:textId="77777777" w:rsidR="003B5C22" w:rsidRDefault="003B5C22" w:rsidP="00F0452A">
      <w:r>
        <w:separator/>
      </w:r>
    </w:p>
  </w:endnote>
  <w:endnote w:type="continuationSeparator" w:id="0">
    <w:p w14:paraId="11B7E32A" w14:textId="77777777" w:rsidR="003B5C22" w:rsidRDefault="003B5C22" w:rsidP="00F0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89914408"/>
      <w:docPartObj>
        <w:docPartGallery w:val="Page Numbers (Bottom of Page)"/>
        <w:docPartUnique/>
      </w:docPartObj>
    </w:sdtPr>
    <w:sdtEndPr>
      <w:rPr>
        <w:rStyle w:val="Nmerodepgina"/>
      </w:rPr>
    </w:sdtEndPr>
    <w:sdtContent>
      <w:p w14:paraId="151F73F3" w14:textId="1A5B4FC0" w:rsidR="003938D4" w:rsidRDefault="003938D4" w:rsidP="003938D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47EAC8A0" w14:textId="77777777" w:rsidR="003938D4" w:rsidRDefault="003938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59863721"/>
      <w:docPartObj>
        <w:docPartGallery w:val="Page Numbers (Bottom of Page)"/>
        <w:docPartUnique/>
      </w:docPartObj>
    </w:sdtPr>
    <w:sdtEndPr>
      <w:rPr>
        <w:rStyle w:val="Nmerodepgina"/>
      </w:rPr>
    </w:sdtEndPr>
    <w:sdtContent>
      <w:p w14:paraId="6757B1B2" w14:textId="1D010177" w:rsidR="003938D4" w:rsidRDefault="003938D4" w:rsidP="003938D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81</w:t>
        </w:r>
        <w:r>
          <w:rPr>
            <w:rStyle w:val="Nmerodepgina"/>
          </w:rPr>
          <w:fldChar w:fldCharType="end"/>
        </w:r>
      </w:p>
    </w:sdtContent>
  </w:sdt>
  <w:p w14:paraId="462FE276" w14:textId="5A9B29FB" w:rsidR="003938D4" w:rsidRPr="00661F74" w:rsidRDefault="003938D4" w:rsidP="00661F74">
    <w:pPr>
      <w:pStyle w:val="Piedepgina"/>
      <w:jc w:val="center"/>
      <w:rPr>
        <w:rFonts w:ascii="Arial" w:hAnsi="Arial" w:cs="Arial"/>
        <w:color w:val="385623" w:themeColor="accent6" w:themeShade="80"/>
        <w:sz w:val="24"/>
        <w:szCs w:val="24"/>
      </w:rPr>
    </w:pPr>
  </w:p>
  <w:p w14:paraId="360FA5EE" w14:textId="77777777" w:rsidR="003938D4" w:rsidRPr="00E724ED" w:rsidRDefault="003938D4" w:rsidP="00E724ED">
    <w:pPr>
      <w:pStyle w:val="Piedepgina"/>
      <w:jc w:val="center"/>
      <w:rPr>
        <w:caps/>
        <w:color w:val="5B9BD5"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2C084" w14:textId="77777777" w:rsidR="003B5C22" w:rsidRDefault="003B5C22" w:rsidP="00F0452A">
      <w:r>
        <w:separator/>
      </w:r>
    </w:p>
  </w:footnote>
  <w:footnote w:type="continuationSeparator" w:id="0">
    <w:p w14:paraId="2FE1EB6B" w14:textId="77777777" w:rsidR="003B5C22" w:rsidRDefault="003B5C22" w:rsidP="00F0452A">
      <w:r>
        <w:continuationSeparator/>
      </w:r>
    </w:p>
  </w:footnote>
  <w:footnote w:id="1">
    <w:p w14:paraId="1CAFA38E" w14:textId="17B699EF" w:rsidR="003938D4" w:rsidRPr="00114E33" w:rsidRDefault="003938D4">
      <w:pPr>
        <w:pStyle w:val="Textonotapie"/>
        <w:rPr>
          <w:lang w:val="es-ES"/>
        </w:rPr>
      </w:pPr>
      <w:r w:rsidRPr="00114E33">
        <w:rPr>
          <w:rStyle w:val="Refdenotaalpie"/>
          <w:highlight w:val="yellow"/>
        </w:rPr>
        <w:footnoteRef/>
      </w:r>
      <w:r w:rsidRPr="00114E33">
        <w:rPr>
          <w:highlight w:val="yellow"/>
        </w:rPr>
        <w:t xml:space="preserve"> </w:t>
      </w:r>
      <w:r w:rsidRPr="00114E33">
        <w:rPr>
          <w:highlight w:val="yellow"/>
          <w:lang w:val="es-MX"/>
        </w:rPr>
        <w:t>Los preceptos que no se advierta a qué ley se hace referencia, se entenderá que es a la Ley de Transparencia de esta Ciudad de México</w:t>
      </w:r>
    </w:p>
  </w:footnote>
  <w:footnote w:id="2">
    <w:p w14:paraId="349552F7"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Secretaría de Administración y Finanzas, Secretaría de Gestión Integral de Riesgos y Protección Civil, Secretaría de la Contraloría General, Secretaría de Seguridad Ciudadana, Secretaría de Educación, Ciencia, Tecnología e Innovación, Secretaría de Inclusión y Bienestar Social, Secretaría de las Mujeres, Secretaría de Pueblos y Barrios Originarios y Comunidades Indígenas Residentes.</w:t>
      </w:r>
    </w:p>
  </w:footnote>
  <w:footnote w:id="3">
    <w:p w14:paraId="5F9CA70B"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Agencia de Atención Animal, Agencia Digital de Innovación Pública de la Ciudad de México, Órgano Regulador de Transporte, Planta Productora de Mezclas Asfálticas, Régimen de Protección Social en Salud de la Ciudad de México, Red de Transporte Público de Pasajeros de la Ciudad de México, Sistema Público de Radiodifusión de la Ciudad de México, Fondo Público de Atención al Ciclista y al Peatón.</w:t>
      </w:r>
    </w:p>
  </w:footnote>
  <w:footnote w:id="4">
    <w:p w14:paraId="17C13E9E"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Alcaldía Álvaro Obregón, Alcaldía Azcapotzalco, Alcaldía Benito Juárez, Alcaldía Coyoacán, Alcaldía Cuajimalpa de Morelos, Alcaldía Cuauhtémoc, Alcaldía Gustavo A Madero, Alcaldía Iztacalco, Alcaldía Iztapalapa, Alcaldía La Magdalena Contreras, Alcaldía Miguel Hidalgo, Alcaldía Milpa Alta, Alcaldía Tláhuac, Alcaldía Tlalpan, Alcaldía Venustiano Carranza, Alcaldía Xochimilco.</w:t>
      </w:r>
    </w:p>
  </w:footnote>
  <w:footnote w:id="5">
    <w:p w14:paraId="6B8C0345"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Congreso de la Ciudad de México.</w:t>
      </w:r>
    </w:p>
  </w:footnote>
  <w:footnote w:id="6">
    <w:p w14:paraId="75666008"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Instituto de Transparencia, Acceso a la Información Pública, Protección de Datos Personales y Rendición de Cuentas de la Ciudad de México.</w:t>
      </w:r>
    </w:p>
  </w:footnote>
  <w:footnote w:id="7">
    <w:p w14:paraId="737EF762" w14:textId="77777777" w:rsidR="003938D4" w:rsidRPr="00750DF4" w:rsidRDefault="003938D4" w:rsidP="00C9398D">
      <w:pPr>
        <w:pStyle w:val="Textonotapie"/>
      </w:pPr>
      <w:r>
        <w:rPr>
          <w:rStyle w:val="Refdenotaalpie"/>
        </w:rPr>
        <w:footnoteRef/>
      </w:r>
      <w:r>
        <w:t xml:space="preserve"> </w:t>
      </w:r>
      <w:r w:rsidRPr="0024281D">
        <w:rPr>
          <w:rFonts w:ascii="Arial" w:hAnsi="Arial" w:cs="Arial"/>
          <w:sz w:val="15"/>
          <w:szCs w:val="15"/>
        </w:rPr>
        <w:t>Sindicato de Trabajadores del Tribunal de Justicia Administrativa de la Ciudad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D2558" w14:textId="3CF64F6E" w:rsidR="003938D4" w:rsidRDefault="003938D4" w:rsidP="00E724ED">
    <w:pPr>
      <w:pStyle w:val="Encabezado"/>
      <w:ind w:firstLine="708"/>
    </w:pPr>
    <w:r w:rsidRPr="00614C23">
      <w:rPr>
        <w:rFonts w:ascii="Arial Black" w:hAnsi="Arial Black" w:cs="Arial"/>
        <w:noProof/>
        <w:color w:val="4597A1"/>
        <w:sz w:val="18"/>
        <w:szCs w:val="19"/>
        <w:lang w:val="es-MX"/>
      </w:rPr>
      <w:drawing>
        <wp:anchor distT="0" distB="0" distL="114300" distR="114300" simplePos="0" relativeHeight="251663360" behindDoc="1" locked="0" layoutInCell="1" allowOverlap="1" wp14:anchorId="5051FEAF" wp14:editId="2E54D122">
          <wp:simplePos x="0" y="0"/>
          <wp:positionH relativeFrom="column">
            <wp:posOffset>-1076235</wp:posOffset>
          </wp:positionH>
          <wp:positionV relativeFrom="paragraph">
            <wp:posOffset>-443695</wp:posOffset>
          </wp:positionV>
          <wp:extent cx="7761605" cy="90311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761605" cy="9031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F45559"/>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 w15:restartNumberingAfterBreak="0">
    <w:nsid w:val="0B835488"/>
    <w:multiLevelType w:val="multilevel"/>
    <w:tmpl w:val="F3A481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2436B4"/>
    <w:multiLevelType w:val="multilevel"/>
    <w:tmpl w:val="F198E7E0"/>
    <w:lvl w:ilvl="0">
      <w:start w:val="1"/>
      <w:numFmt w:val="decimal"/>
      <w:lvlText w:val="%1."/>
      <w:lvlJc w:val="left"/>
      <w:pPr>
        <w:ind w:left="360" w:hanging="360"/>
      </w:pPr>
      <w:rPr>
        <w:rFonts w:hint="default"/>
      </w:rPr>
    </w:lvl>
    <w:lvl w:ilvl="1">
      <w:start w:val="4"/>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B55778"/>
    <w:multiLevelType w:val="hybridMultilevel"/>
    <w:tmpl w:val="D200F8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74E34CB"/>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6" w15:restartNumberingAfterBreak="0">
    <w:nsid w:val="1DA876CA"/>
    <w:multiLevelType w:val="hybridMultilevel"/>
    <w:tmpl w:val="CED686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DCA135D"/>
    <w:multiLevelType w:val="multilevel"/>
    <w:tmpl w:val="04D80F5A"/>
    <w:lvl w:ilvl="0">
      <w:start w:val="1"/>
      <w:numFmt w:val="decimal"/>
      <w:lvlText w:val="%1."/>
      <w:lvlJc w:val="left"/>
      <w:pPr>
        <w:ind w:left="360" w:hanging="360"/>
      </w:pPr>
    </w:lvl>
    <w:lvl w:ilvl="1">
      <w:start w:val="1"/>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C46E8"/>
    <w:multiLevelType w:val="hybridMultilevel"/>
    <w:tmpl w:val="EEE08D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B6B590C"/>
    <w:multiLevelType w:val="hybridMultilevel"/>
    <w:tmpl w:val="4AB0D7E8"/>
    <w:lvl w:ilvl="0" w:tplc="08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F0F184E"/>
    <w:multiLevelType w:val="hybridMultilevel"/>
    <w:tmpl w:val="4AB0D7E8"/>
    <w:lvl w:ilvl="0" w:tplc="08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7F87193"/>
    <w:multiLevelType w:val="multilevel"/>
    <w:tmpl w:val="368E36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4.%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081656"/>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3"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DF21554"/>
    <w:multiLevelType w:val="hybridMultilevel"/>
    <w:tmpl w:val="E1E25E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13D45E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BD545D"/>
    <w:multiLevelType w:val="multilevel"/>
    <w:tmpl w:val="37981D74"/>
    <w:lvl w:ilvl="0">
      <w:start w:val="1"/>
      <w:numFmt w:val="decimal"/>
      <w:lvlText w:val="%1."/>
      <w:lvlJc w:val="left"/>
      <w:pPr>
        <w:ind w:left="360" w:hanging="360"/>
      </w:pPr>
      <w:rPr>
        <w:rFonts w:hint="default"/>
      </w:rPr>
    </w:lvl>
    <w:lvl w:ilvl="1">
      <w:start w:val="4"/>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82600E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C31518"/>
    <w:multiLevelType w:val="multilevel"/>
    <w:tmpl w:val="49DC06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3507CF"/>
    <w:multiLevelType w:val="hybridMultilevel"/>
    <w:tmpl w:val="9E8C11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D666CF7"/>
    <w:multiLevelType w:val="multilevel"/>
    <w:tmpl w:val="09A2FB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8C5D6B"/>
    <w:multiLevelType w:val="multilevel"/>
    <w:tmpl w:val="F198E7E0"/>
    <w:lvl w:ilvl="0">
      <w:start w:val="1"/>
      <w:numFmt w:val="decimal"/>
      <w:lvlText w:val="%1."/>
      <w:lvlJc w:val="left"/>
      <w:pPr>
        <w:ind w:left="360" w:hanging="360"/>
      </w:pPr>
      <w:rPr>
        <w:rFonts w:hint="default"/>
      </w:rPr>
    </w:lvl>
    <w:lvl w:ilvl="1">
      <w:start w:val="4"/>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151A41"/>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3" w15:restartNumberingAfterBreak="0">
    <w:nsid w:val="65302F54"/>
    <w:multiLevelType w:val="hybridMultilevel"/>
    <w:tmpl w:val="4AB0D7E8"/>
    <w:lvl w:ilvl="0" w:tplc="08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A7C70DE"/>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5" w15:restartNumberingAfterBreak="0">
    <w:nsid w:val="6D872B04"/>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6" w15:restartNumberingAfterBreak="0">
    <w:nsid w:val="799A6671"/>
    <w:multiLevelType w:val="multilevel"/>
    <w:tmpl w:val="FBBABBEA"/>
    <w:lvl w:ilvl="0">
      <w:start w:val="1"/>
      <w:numFmt w:val="decimal"/>
      <w:lvlText w:val="%1."/>
      <w:lvlJc w:val="left"/>
      <w:pPr>
        <w:ind w:left="360" w:hanging="360"/>
      </w:pPr>
      <w:rPr>
        <w:rFonts w:hint="default"/>
      </w:rPr>
    </w:lvl>
    <w:lvl w:ilvl="1">
      <w:start w:val="4"/>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EFF47D9"/>
    <w:multiLevelType w:val="multilevel"/>
    <w:tmpl w:val="9DDC904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0"/>
  </w:num>
  <w:num w:numId="3">
    <w:abstractNumId w:val="8"/>
  </w:num>
  <w:num w:numId="4">
    <w:abstractNumId w:val="14"/>
  </w:num>
  <w:num w:numId="5">
    <w:abstractNumId w:val="17"/>
  </w:num>
  <w:num w:numId="6">
    <w:abstractNumId w:val="24"/>
  </w:num>
  <w:num w:numId="7">
    <w:abstractNumId w:val="20"/>
  </w:num>
  <w:num w:numId="8">
    <w:abstractNumId w:val="18"/>
  </w:num>
  <w:num w:numId="9">
    <w:abstractNumId w:val="7"/>
  </w:num>
  <w:num w:numId="10">
    <w:abstractNumId w:val="5"/>
  </w:num>
  <w:num w:numId="11">
    <w:abstractNumId w:val="11"/>
  </w:num>
  <w:num w:numId="12">
    <w:abstractNumId w:val="12"/>
  </w:num>
  <w:num w:numId="13">
    <w:abstractNumId w:val="2"/>
  </w:num>
  <w:num w:numId="14">
    <w:abstractNumId w:val="13"/>
  </w:num>
  <w:num w:numId="15">
    <w:abstractNumId w:val="0"/>
  </w:num>
  <w:num w:numId="16">
    <w:abstractNumId w:val="19"/>
  </w:num>
  <w:num w:numId="17">
    <w:abstractNumId w:val="4"/>
  </w:num>
  <w:num w:numId="18">
    <w:abstractNumId w:val="27"/>
  </w:num>
  <w:num w:numId="19">
    <w:abstractNumId w:val="15"/>
  </w:num>
  <w:num w:numId="20">
    <w:abstractNumId w:val="26"/>
  </w:num>
  <w:num w:numId="21">
    <w:abstractNumId w:val="6"/>
  </w:num>
  <w:num w:numId="22">
    <w:abstractNumId w:val="16"/>
  </w:num>
  <w:num w:numId="23">
    <w:abstractNumId w:val="22"/>
  </w:num>
  <w:num w:numId="24">
    <w:abstractNumId w:val="9"/>
  </w:num>
  <w:num w:numId="25">
    <w:abstractNumId w:val="3"/>
  </w:num>
  <w:num w:numId="26">
    <w:abstractNumId w:val="25"/>
  </w:num>
  <w:num w:numId="27">
    <w:abstractNumId w:val="23"/>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357"/>
    <w:rsid w:val="0000796C"/>
    <w:rsid w:val="00012719"/>
    <w:rsid w:val="00013B12"/>
    <w:rsid w:val="00017BAE"/>
    <w:rsid w:val="00027F6E"/>
    <w:rsid w:val="00035C8D"/>
    <w:rsid w:val="00042A4C"/>
    <w:rsid w:val="0005090A"/>
    <w:rsid w:val="000546E9"/>
    <w:rsid w:val="00066453"/>
    <w:rsid w:val="000710B2"/>
    <w:rsid w:val="00074645"/>
    <w:rsid w:val="00074700"/>
    <w:rsid w:val="00080A6E"/>
    <w:rsid w:val="0008164F"/>
    <w:rsid w:val="00091CF8"/>
    <w:rsid w:val="000A0B3B"/>
    <w:rsid w:val="000A2648"/>
    <w:rsid w:val="000B0B2E"/>
    <w:rsid w:val="000B212A"/>
    <w:rsid w:val="000B21DF"/>
    <w:rsid w:val="000B2F47"/>
    <w:rsid w:val="000C315D"/>
    <w:rsid w:val="000C3193"/>
    <w:rsid w:val="000D089B"/>
    <w:rsid w:val="000D3657"/>
    <w:rsid w:val="000D6661"/>
    <w:rsid w:val="000D67A7"/>
    <w:rsid w:val="000E5518"/>
    <w:rsid w:val="000F1CD2"/>
    <w:rsid w:val="000F221D"/>
    <w:rsid w:val="000F472F"/>
    <w:rsid w:val="0010333E"/>
    <w:rsid w:val="001075D0"/>
    <w:rsid w:val="001112D7"/>
    <w:rsid w:val="001125B7"/>
    <w:rsid w:val="00114E33"/>
    <w:rsid w:val="00116D85"/>
    <w:rsid w:val="001226FE"/>
    <w:rsid w:val="0013436A"/>
    <w:rsid w:val="00137C73"/>
    <w:rsid w:val="001408E1"/>
    <w:rsid w:val="00142A87"/>
    <w:rsid w:val="00152FD1"/>
    <w:rsid w:val="001568FE"/>
    <w:rsid w:val="001622AE"/>
    <w:rsid w:val="001639CC"/>
    <w:rsid w:val="0017655F"/>
    <w:rsid w:val="0018064F"/>
    <w:rsid w:val="00184CE6"/>
    <w:rsid w:val="001916D9"/>
    <w:rsid w:val="00192709"/>
    <w:rsid w:val="001B2F09"/>
    <w:rsid w:val="001B5C5F"/>
    <w:rsid w:val="001C6BE8"/>
    <w:rsid w:val="001E0121"/>
    <w:rsid w:val="001F4A76"/>
    <w:rsid w:val="00202C91"/>
    <w:rsid w:val="002044AF"/>
    <w:rsid w:val="0020458B"/>
    <w:rsid w:val="00210D90"/>
    <w:rsid w:val="00212DF7"/>
    <w:rsid w:val="00215949"/>
    <w:rsid w:val="0022431F"/>
    <w:rsid w:val="00232DAB"/>
    <w:rsid w:val="0024067A"/>
    <w:rsid w:val="00245203"/>
    <w:rsid w:val="00245B50"/>
    <w:rsid w:val="002470B8"/>
    <w:rsid w:val="00255602"/>
    <w:rsid w:val="002562AC"/>
    <w:rsid w:val="00265035"/>
    <w:rsid w:val="00273629"/>
    <w:rsid w:val="00282184"/>
    <w:rsid w:val="002B18F9"/>
    <w:rsid w:val="002B67B7"/>
    <w:rsid w:val="002B784C"/>
    <w:rsid w:val="002C1DF7"/>
    <w:rsid w:val="002D4DB9"/>
    <w:rsid w:val="002D6329"/>
    <w:rsid w:val="002E7806"/>
    <w:rsid w:val="002E7D47"/>
    <w:rsid w:val="002F155B"/>
    <w:rsid w:val="002F7385"/>
    <w:rsid w:val="002F75F0"/>
    <w:rsid w:val="00300369"/>
    <w:rsid w:val="00311035"/>
    <w:rsid w:val="00316565"/>
    <w:rsid w:val="00320986"/>
    <w:rsid w:val="00323ABF"/>
    <w:rsid w:val="003250DC"/>
    <w:rsid w:val="00327770"/>
    <w:rsid w:val="00327FB1"/>
    <w:rsid w:val="0033336D"/>
    <w:rsid w:val="003356CA"/>
    <w:rsid w:val="00336ECE"/>
    <w:rsid w:val="003375D1"/>
    <w:rsid w:val="003577FB"/>
    <w:rsid w:val="00362663"/>
    <w:rsid w:val="00362F53"/>
    <w:rsid w:val="00366183"/>
    <w:rsid w:val="00367BD4"/>
    <w:rsid w:val="0037355F"/>
    <w:rsid w:val="00383FF2"/>
    <w:rsid w:val="003864F7"/>
    <w:rsid w:val="00387542"/>
    <w:rsid w:val="003912DB"/>
    <w:rsid w:val="003925C4"/>
    <w:rsid w:val="003938D4"/>
    <w:rsid w:val="00395256"/>
    <w:rsid w:val="00397983"/>
    <w:rsid w:val="003A3B21"/>
    <w:rsid w:val="003A4474"/>
    <w:rsid w:val="003A49F5"/>
    <w:rsid w:val="003A57A0"/>
    <w:rsid w:val="003B202F"/>
    <w:rsid w:val="003B4E6C"/>
    <w:rsid w:val="003B57BF"/>
    <w:rsid w:val="003B5C22"/>
    <w:rsid w:val="003C04E4"/>
    <w:rsid w:val="003C0686"/>
    <w:rsid w:val="003C285F"/>
    <w:rsid w:val="003C3757"/>
    <w:rsid w:val="003C53E8"/>
    <w:rsid w:val="003C6FE5"/>
    <w:rsid w:val="003C709B"/>
    <w:rsid w:val="003D0DA8"/>
    <w:rsid w:val="003D1EE2"/>
    <w:rsid w:val="003D3231"/>
    <w:rsid w:val="003E0501"/>
    <w:rsid w:val="003E19CC"/>
    <w:rsid w:val="003E5660"/>
    <w:rsid w:val="003F3680"/>
    <w:rsid w:val="00404D88"/>
    <w:rsid w:val="004054B5"/>
    <w:rsid w:val="004077DD"/>
    <w:rsid w:val="004079D0"/>
    <w:rsid w:val="00432409"/>
    <w:rsid w:val="004369F5"/>
    <w:rsid w:val="00437B73"/>
    <w:rsid w:val="0046015E"/>
    <w:rsid w:val="0047062A"/>
    <w:rsid w:val="00474B82"/>
    <w:rsid w:val="00475941"/>
    <w:rsid w:val="00480440"/>
    <w:rsid w:val="0048385A"/>
    <w:rsid w:val="004840AE"/>
    <w:rsid w:val="00490622"/>
    <w:rsid w:val="00491D74"/>
    <w:rsid w:val="004924FA"/>
    <w:rsid w:val="00494E52"/>
    <w:rsid w:val="004A30A3"/>
    <w:rsid w:val="004B5807"/>
    <w:rsid w:val="004B68E2"/>
    <w:rsid w:val="004B6AFD"/>
    <w:rsid w:val="004B6BFD"/>
    <w:rsid w:val="004C101C"/>
    <w:rsid w:val="004C25C5"/>
    <w:rsid w:val="004C29F1"/>
    <w:rsid w:val="004C7C14"/>
    <w:rsid w:val="004D3279"/>
    <w:rsid w:val="004D5EEA"/>
    <w:rsid w:val="004D7B03"/>
    <w:rsid w:val="004F1330"/>
    <w:rsid w:val="004F753C"/>
    <w:rsid w:val="00507F70"/>
    <w:rsid w:val="00510E92"/>
    <w:rsid w:val="00516722"/>
    <w:rsid w:val="00516AA8"/>
    <w:rsid w:val="00525C08"/>
    <w:rsid w:val="00535A9F"/>
    <w:rsid w:val="00541406"/>
    <w:rsid w:val="00542709"/>
    <w:rsid w:val="00542E06"/>
    <w:rsid w:val="0054779C"/>
    <w:rsid w:val="00550D91"/>
    <w:rsid w:val="005520F0"/>
    <w:rsid w:val="00552574"/>
    <w:rsid w:val="0055769F"/>
    <w:rsid w:val="00564E3F"/>
    <w:rsid w:val="005708D6"/>
    <w:rsid w:val="00571554"/>
    <w:rsid w:val="00575F55"/>
    <w:rsid w:val="005904F0"/>
    <w:rsid w:val="005924E3"/>
    <w:rsid w:val="00592E17"/>
    <w:rsid w:val="00597B12"/>
    <w:rsid w:val="005A0F6E"/>
    <w:rsid w:val="005A242A"/>
    <w:rsid w:val="005A2A4F"/>
    <w:rsid w:val="005A4A11"/>
    <w:rsid w:val="005A7014"/>
    <w:rsid w:val="005A7A81"/>
    <w:rsid w:val="005B0BB9"/>
    <w:rsid w:val="005B128B"/>
    <w:rsid w:val="005C2A5C"/>
    <w:rsid w:val="005D0F3F"/>
    <w:rsid w:val="005D21D2"/>
    <w:rsid w:val="005E3231"/>
    <w:rsid w:val="005E5A2A"/>
    <w:rsid w:val="005F07AA"/>
    <w:rsid w:val="005F4EE8"/>
    <w:rsid w:val="0060462D"/>
    <w:rsid w:val="00604DE7"/>
    <w:rsid w:val="00615A43"/>
    <w:rsid w:val="00623A69"/>
    <w:rsid w:val="00631D4C"/>
    <w:rsid w:val="00640460"/>
    <w:rsid w:val="00643927"/>
    <w:rsid w:val="00646CCD"/>
    <w:rsid w:val="0064710F"/>
    <w:rsid w:val="00647410"/>
    <w:rsid w:val="00652282"/>
    <w:rsid w:val="006547DD"/>
    <w:rsid w:val="00661F74"/>
    <w:rsid w:val="0066571C"/>
    <w:rsid w:val="00666848"/>
    <w:rsid w:val="00670A25"/>
    <w:rsid w:val="00674513"/>
    <w:rsid w:val="00677FA9"/>
    <w:rsid w:val="0068683C"/>
    <w:rsid w:val="00692FB9"/>
    <w:rsid w:val="0069524E"/>
    <w:rsid w:val="00695D6E"/>
    <w:rsid w:val="006A7670"/>
    <w:rsid w:val="006B1859"/>
    <w:rsid w:val="006B3579"/>
    <w:rsid w:val="006C07E4"/>
    <w:rsid w:val="006C112E"/>
    <w:rsid w:val="006C3FD4"/>
    <w:rsid w:val="006C6251"/>
    <w:rsid w:val="006C722A"/>
    <w:rsid w:val="006D516A"/>
    <w:rsid w:val="006E6438"/>
    <w:rsid w:val="006E7846"/>
    <w:rsid w:val="007014A4"/>
    <w:rsid w:val="00701AD0"/>
    <w:rsid w:val="007043C2"/>
    <w:rsid w:val="00710739"/>
    <w:rsid w:val="00717983"/>
    <w:rsid w:val="00717E3A"/>
    <w:rsid w:val="00730809"/>
    <w:rsid w:val="007335DB"/>
    <w:rsid w:val="00735992"/>
    <w:rsid w:val="007411D0"/>
    <w:rsid w:val="00741645"/>
    <w:rsid w:val="00741711"/>
    <w:rsid w:val="00743C68"/>
    <w:rsid w:val="0074420A"/>
    <w:rsid w:val="0074778D"/>
    <w:rsid w:val="00751152"/>
    <w:rsid w:val="00751E54"/>
    <w:rsid w:val="007648EE"/>
    <w:rsid w:val="00767947"/>
    <w:rsid w:val="00773979"/>
    <w:rsid w:val="00776F07"/>
    <w:rsid w:val="00777D24"/>
    <w:rsid w:val="00793617"/>
    <w:rsid w:val="00794203"/>
    <w:rsid w:val="00794EC2"/>
    <w:rsid w:val="00797777"/>
    <w:rsid w:val="007B1AB1"/>
    <w:rsid w:val="007B5687"/>
    <w:rsid w:val="007B5B6F"/>
    <w:rsid w:val="007B6F8D"/>
    <w:rsid w:val="007C0694"/>
    <w:rsid w:val="007C0B86"/>
    <w:rsid w:val="007D4D91"/>
    <w:rsid w:val="007E4BF9"/>
    <w:rsid w:val="007F1672"/>
    <w:rsid w:val="007F5497"/>
    <w:rsid w:val="00811C1D"/>
    <w:rsid w:val="00813E0D"/>
    <w:rsid w:val="00814637"/>
    <w:rsid w:val="008170F0"/>
    <w:rsid w:val="00827F0F"/>
    <w:rsid w:val="00830529"/>
    <w:rsid w:val="008440A4"/>
    <w:rsid w:val="008467C5"/>
    <w:rsid w:val="00846BF4"/>
    <w:rsid w:val="00860497"/>
    <w:rsid w:val="008710F6"/>
    <w:rsid w:val="00880673"/>
    <w:rsid w:val="0088258D"/>
    <w:rsid w:val="008840AB"/>
    <w:rsid w:val="0088482A"/>
    <w:rsid w:val="00887075"/>
    <w:rsid w:val="0089195A"/>
    <w:rsid w:val="008A4CDF"/>
    <w:rsid w:val="008A7753"/>
    <w:rsid w:val="008B1EAC"/>
    <w:rsid w:val="008B5F1E"/>
    <w:rsid w:val="008C35DF"/>
    <w:rsid w:val="008D1305"/>
    <w:rsid w:val="008D159A"/>
    <w:rsid w:val="008D1DB0"/>
    <w:rsid w:val="008D44C3"/>
    <w:rsid w:val="008F67E4"/>
    <w:rsid w:val="009040BC"/>
    <w:rsid w:val="0091141F"/>
    <w:rsid w:val="009120F6"/>
    <w:rsid w:val="00913C1F"/>
    <w:rsid w:val="00916C23"/>
    <w:rsid w:val="0091792D"/>
    <w:rsid w:val="00923850"/>
    <w:rsid w:val="00931AA0"/>
    <w:rsid w:val="00934556"/>
    <w:rsid w:val="00940CBA"/>
    <w:rsid w:val="009640A0"/>
    <w:rsid w:val="0097713D"/>
    <w:rsid w:val="009906FC"/>
    <w:rsid w:val="00995E8A"/>
    <w:rsid w:val="009974EE"/>
    <w:rsid w:val="00997DA9"/>
    <w:rsid w:val="009A0709"/>
    <w:rsid w:val="009B7BDB"/>
    <w:rsid w:val="009C6D91"/>
    <w:rsid w:val="009D7771"/>
    <w:rsid w:val="009E58E8"/>
    <w:rsid w:val="009F5357"/>
    <w:rsid w:val="009F64B5"/>
    <w:rsid w:val="009F734B"/>
    <w:rsid w:val="00A00EE3"/>
    <w:rsid w:val="00A01FDE"/>
    <w:rsid w:val="00A027DB"/>
    <w:rsid w:val="00A04685"/>
    <w:rsid w:val="00A122E3"/>
    <w:rsid w:val="00A15A8B"/>
    <w:rsid w:val="00A15CC1"/>
    <w:rsid w:val="00A211E8"/>
    <w:rsid w:val="00A41D3E"/>
    <w:rsid w:val="00A45D16"/>
    <w:rsid w:val="00A46C1F"/>
    <w:rsid w:val="00A6241B"/>
    <w:rsid w:val="00A64325"/>
    <w:rsid w:val="00A6785B"/>
    <w:rsid w:val="00A7501A"/>
    <w:rsid w:val="00A76FBA"/>
    <w:rsid w:val="00A82DA1"/>
    <w:rsid w:val="00A85477"/>
    <w:rsid w:val="00A93180"/>
    <w:rsid w:val="00A972A3"/>
    <w:rsid w:val="00AA1246"/>
    <w:rsid w:val="00AA2096"/>
    <w:rsid w:val="00AB73B9"/>
    <w:rsid w:val="00AC07A8"/>
    <w:rsid w:val="00AC6329"/>
    <w:rsid w:val="00AD6778"/>
    <w:rsid w:val="00AE7B63"/>
    <w:rsid w:val="00AF192F"/>
    <w:rsid w:val="00AF4F26"/>
    <w:rsid w:val="00AF69FA"/>
    <w:rsid w:val="00B012BD"/>
    <w:rsid w:val="00B015A8"/>
    <w:rsid w:val="00B12E30"/>
    <w:rsid w:val="00B17ECC"/>
    <w:rsid w:val="00B24A2D"/>
    <w:rsid w:val="00B24F17"/>
    <w:rsid w:val="00B250A5"/>
    <w:rsid w:val="00B254C5"/>
    <w:rsid w:val="00B25E84"/>
    <w:rsid w:val="00B3239B"/>
    <w:rsid w:val="00B329F7"/>
    <w:rsid w:val="00B3710C"/>
    <w:rsid w:val="00B37D60"/>
    <w:rsid w:val="00B44DDD"/>
    <w:rsid w:val="00B5426D"/>
    <w:rsid w:val="00B671B7"/>
    <w:rsid w:val="00B70AF2"/>
    <w:rsid w:val="00B7386F"/>
    <w:rsid w:val="00B83B89"/>
    <w:rsid w:val="00B92499"/>
    <w:rsid w:val="00B96550"/>
    <w:rsid w:val="00BA29B1"/>
    <w:rsid w:val="00BA63F8"/>
    <w:rsid w:val="00BB08F8"/>
    <w:rsid w:val="00BB78B7"/>
    <w:rsid w:val="00BC186F"/>
    <w:rsid w:val="00BC3D51"/>
    <w:rsid w:val="00BC6CC0"/>
    <w:rsid w:val="00BD5114"/>
    <w:rsid w:val="00BD5AFE"/>
    <w:rsid w:val="00BD6320"/>
    <w:rsid w:val="00BE22B9"/>
    <w:rsid w:val="00BF520B"/>
    <w:rsid w:val="00BF662A"/>
    <w:rsid w:val="00BF7A5D"/>
    <w:rsid w:val="00C13064"/>
    <w:rsid w:val="00C14CA7"/>
    <w:rsid w:val="00C251BA"/>
    <w:rsid w:val="00C30509"/>
    <w:rsid w:val="00C31644"/>
    <w:rsid w:val="00C32663"/>
    <w:rsid w:val="00C33EAC"/>
    <w:rsid w:val="00C340EB"/>
    <w:rsid w:val="00C404C3"/>
    <w:rsid w:val="00C41BA1"/>
    <w:rsid w:val="00C576D2"/>
    <w:rsid w:val="00C62615"/>
    <w:rsid w:val="00C7683E"/>
    <w:rsid w:val="00C816B9"/>
    <w:rsid w:val="00C90A16"/>
    <w:rsid w:val="00C924AE"/>
    <w:rsid w:val="00C9398D"/>
    <w:rsid w:val="00C947BF"/>
    <w:rsid w:val="00C95C27"/>
    <w:rsid w:val="00CA1BF2"/>
    <w:rsid w:val="00CB0FC2"/>
    <w:rsid w:val="00CB2C4C"/>
    <w:rsid w:val="00CB304D"/>
    <w:rsid w:val="00CB5AA6"/>
    <w:rsid w:val="00CC2FF1"/>
    <w:rsid w:val="00CD728B"/>
    <w:rsid w:val="00CE1D73"/>
    <w:rsid w:val="00CE28A8"/>
    <w:rsid w:val="00CE5B2E"/>
    <w:rsid w:val="00CF1925"/>
    <w:rsid w:val="00CF534F"/>
    <w:rsid w:val="00CF5DA3"/>
    <w:rsid w:val="00CF73AA"/>
    <w:rsid w:val="00CF78B3"/>
    <w:rsid w:val="00CF7EED"/>
    <w:rsid w:val="00D05BB1"/>
    <w:rsid w:val="00D1123D"/>
    <w:rsid w:val="00D118E9"/>
    <w:rsid w:val="00D139A1"/>
    <w:rsid w:val="00D14851"/>
    <w:rsid w:val="00D2376D"/>
    <w:rsid w:val="00D27DFC"/>
    <w:rsid w:val="00D305A0"/>
    <w:rsid w:val="00D31530"/>
    <w:rsid w:val="00D3160C"/>
    <w:rsid w:val="00D31CA3"/>
    <w:rsid w:val="00D37E9B"/>
    <w:rsid w:val="00D4196C"/>
    <w:rsid w:val="00D424B6"/>
    <w:rsid w:val="00D4670A"/>
    <w:rsid w:val="00D47730"/>
    <w:rsid w:val="00D50026"/>
    <w:rsid w:val="00D5297A"/>
    <w:rsid w:val="00D52E0A"/>
    <w:rsid w:val="00D629F1"/>
    <w:rsid w:val="00D81A9F"/>
    <w:rsid w:val="00D85F52"/>
    <w:rsid w:val="00D871E0"/>
    <w:rsid w:val="00DB6C5B"/>
    <w:rsid w:val="00DC0BD5"/>
    <w:rsid w:val="00DD5942"/>
    <w:rsid w:val="00DD643E"/>
    <w:rsid w:val="00DD73B8"/>
    <w:rsid w:val="00E06A3C"/>
    <w:rsid w:val="00E24726"/>
    <w:rsid w:val="00E260A3"/>
    <w:rsid w:val="00E34260"/>
    <w:rsid w:val="00E43618"/>
    <w:rsid w:val="00E44C8A"/>
    <w:rsid w:val="00E46046"/>
    <w:rsid w:val="00E53FC4"/>
    <w:rsid w:val="00E5482B"/>
    <w:rsid w:val="00E71800"/>
    <w:rsid w:val="00E724ED"/>
    <w:rsid w:val="00E75512"/>
    <w:rsid w:val="00E77D5B"/>
    <w:rsid w:val="00E93E36"/>
    <w:rsid w:val="00E9434A"/>
    <w:rsid w:val="00E95875"/>
    <w:rsid w:val="00E96B94"/>
    <w:rsid w:val="00EA3DD2"/>
    <w:rsid w:val="00EB5F64"/>
    <w:rsid w:val="00EE265F"/>
    <w:rsid w:val="00EE3F6D"/>
    <w:rsid w:val="00EE5F08"/>
    <w:rsid w:val="00EF2D1E"/>
    <w:rsid w:val="00EF3247"/>
    <w:rsid w:val="00F01035"/>
    <w:rsid w:val="00F03EAA"/>
    <w:rsid w:val="00F0452A"/>
    <w:rsid w:val="00F10F77"/>
    <w:rsid w:val="00F14A7E"/>
    <w:rsid w:val="00F21221"/>
    <w:rsid w:val="00F218DB"/>
    <w:rsid w:val="00F2541A"/>
    <w:rsid w:val="00F27818"/>
    <w:rsid w:val="00F33EBF"/>
    <w:rsid w:val="00F34ED5"/>
    <w:rsid w:val="00F35FA2"/>
    <w:rsid w:val="00F375CD"/>
    <w:rsid w:val="00F52CAA"/>
    <w:rsid w:val="00F55D12"/>
    <w:rsid w:val="00F648E2"/>
    <w:rsid w:val="00F65F50"/>
    <w:rsid w:val="00F93DEA"/>
    <w:rsid w:val="00F95061"/>
    <w:rsid w:val="00FA4D6B"/>
    <w:rsid w:val="00FC7B59"/>
    <w:rsid w:val="00FE2167"/>
    <w:rsid w:val="00FE32E5"/>
    <w:rsid w:val="00FE4968"/>
    <w:rsid w:val="00FE7111"/>
    <w:rsid w:val="00FF3005"/>
    <w:rsid w:val="00FF3679"/>
    <w:rsid w:val="00FF421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44A9D5"/>
  <w15:docId w15:val="{A2712205-F4B9-6B45-B9B8-A3F45A8A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41F"/>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64710F"/>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ES_tradnl" w:eastAsia="en-US"/>
    </w:rPr>
  </w:style>
  <w:style w:type="paragraph" w:styleId="Ttulo2">
    <w:name w:val="heading 2"/>
    <w:basedOn w:val="Normal"/>
    <w:next w:val="Normal"/>
    <w:link w:val="Ttulo2Car"/>
    <w:uiPriority w:val="9"/>
    <w:unhideWhenUsed/>
    <w:qFormat/>
    <w:rsid w:val="0064710F"/>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ES_tradnl" w:eastAsia="en-US"/>
    </w:rPr>
  </w:style>
  <w:style w:type="paragraph" w:styleId="Ttulo3">
    <w:name w:val="heading 3"/>
    <w:basedOn w:val="Normal"/>
    <w:next w:val="Normal"/>
    <w:link w:val="Ttulo3Car"/>
    <w:uiPriority w:val="9"/>
    <w:unhideWhenUsed/>
    <w:qFormat/>
    <w:rsid w:val="0064710F"/>
    <w:pPr>
      <w:keepNext/>
      <w:keepLines/>
      <w:spacing w:before="40" w:line="259" w:lineRule="auto"/>
      <w:outlineLvl w:val="2"/>
    </w:pPr>
    <w:rPr>
      <w:rFonts w:asciiTheme="majorHAnsi" w:eastAsiaTheme="majorEastAsia" w:hAnsiTheme="majorHAnsi" w:cstheme="majorBidi"/>
      <w:color w:val="1F4D78" w:themeColor="accent1" w:themeShade="7F"/>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0AF2"/>
    <w:pPr>
      <w:spacing w:after="160" w:line="259" w:lineRule="auto"/>
      <w:ind w:left="720"/>
      <w:contextualSpacing/>
    </w:pPr>
    <w:rPr>
      <w:rFonts w:asciiTheme="minorHAnsi" w:eastAsiaTheme="minorHAnsi" w:hAnsiTheme="minorHAnsi" w:cstheme="minorBidi"/>
      <w:sz w:val="22"/>
      <w:szCs w:val="22"/>
      <w:lang w:val="es-ES" w:eastAsia="en-US"/>
    </w:rPr>
  </w:style>
  <w:style w:type="paragraph" w:styleId="Textonotapie">
    <w:name w:val="footnote text"/>
    <w:basedOn w:val="Normal"/>
    <w:link w:val="TextonotapieCar"/>
    <w:uiPriority w:val="99"/>
    <w:semiHidden/>
    <w:unhideWhenUsed/>
    <w:rsid w:val="00F0452A"/>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F0452A"/>
    <w:rPr>
      <w:sz w:val="20"/>
      <w:szCs w:val="20"/>
    </w:rPr>
  </w:style>
  <w:style w:type="character" w:styleId="Refdenotaalpie">
    <w:name w:val="footnote reference"/>
    <w:basedOn w:val="Fuentedeprrafopredeter"/>
    <w:uiPriority w:val="99"/>
    <w:semiHidden/>
    <w:unhideWhenUsed/>
    <w:rsid w:val="00F0452A"/>
    <w:rPr>
      <w:vertAlign w:val="superscript"/>
    </w:rPr>
  </w:style>
  <w:style w:type="character" w:styleId="Refdecomentario">
    <w:name w:val="annotation reference"/>
    <w:basedOn w:val="Fuentedeprrafopredeter"/>
    <w:uiPriority w:val="99"/>
    <w:semiHidden/>
    <w:unhideWhenUsed/>
    <w:rsid w:val="00300369"/>
    <w:rPr>
      <w:sz w:val="16"/>
      <w:szCs w:val="16"/>
    </w:rPr>
  </w:style>
  <w:style w:type="paragraph" w:styleId="Textocomentario">
    <w:name w:val="annotation text"/>
    <w:basedOn w:val="Normal"/>
    <w:link w:val="TextocomentarioCar"/>
    <w:uiPriority w:val="99"/>
    <w:semiHidden/>
    <w:unhideWhenUsed/>
    <w:rsid w:val="00300369"/>
    <w:pPr>
      <w:spacing w:after="160"/>
    </w:pPr>
    <w:rPr>
      <w:rFonts w:asciiTheme="minorHAnsi" w:eastAsiaTheme="minorHAnsi" w:hAnsiTheme="minorHAnsi" w:cstheme="minorBidi"/>
      <w:sz w:val="20"/>
      <w:szCs w:val="20"/>
      <w:lang w:val="es-ES_tradnl" w:eastAsia="en-US"/>
    </w:rPr>
  </w:style>
  <w:style w:type="character" w:customStyle="1" w:styleId="TextocomentarioCar">
    <w:name w:val="Texto comentario Car"/>
    <w:basedOn w:val="Fuentedeprrafopredeter"/>
    <w:link w:val="Textocomentario"/>
    <w:uiPriority w:val="99"/>
    <w:semiHidden/>
    <w:rsid w:val="00300369"/>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00369"/>
    <w:rPr>
      <w:b/>
      <w:bCs/>
    </w:rPr>
  </w:style>
  <w:style w:type="character" w:customStyle="1" w:styleId="AsuntodelcomentarioCar">
    <w:name w:val="Asunto del comentario Car"/>
    <w:basedOn w:val="TextocomentarioCar"/>
    <w:link w:val="Asuntodelcomentario"/>
    <w:uiPriority w:val="99"/>
    <w:semiHidden/>
    <w:rsid w:val="00300369"/>
    <w:rPr>
      <w:b/>
      <w:bCs/>
      <w:sz w:val="20"/>
      <w:szCs w:val="20"/>
      <w:lang w:val="es-ES_tradnl"/>
    </w:rPr>
  </w:style>
  <w:style w:type="paragraph" w:styleId="Textodeglobo">
    <w:name w:val="Balloon Text"/>
    <w:basedOn w:val="Normal"/>
    <w:link w:val="TextodegloboCar"/>
    <w:uiPriority w:val="99"/>
    <w:semiHidden/>
    <w:unhideWhenUsed/>
    <w:rsid w:val="00300369"/>
    <w:rPr>
      <w:rFonts w:ascii="Segoe UI" w:eastAsiaTheme="minorHAnsi" w:hAnsi="Segoe UI" w:cs="Segoe UI"/>
      <w:sz w:val="18"/>
      <w:szCs w:val="18"/>
      <w:lang w:val="es-ES_tradnl" w:eastAsia="en-US"/>
    </w:rPr>
  </w:style>
  <w:style w:type="character" w:customStyle="1" w:styleId="TextodegloboCar">
    <w:name w:val="Texto de globo Car"/>
    <w:basedOn w:val="Fuentedeprrafopredeter"/>
    <w:link w:val="Textodeglobo"/>
    <w:uiPriority w:val="99"/>
    <w:semiHidden/>
    <w:rsid w:val="00300369"/>
    <w:rPr>
      <w:rFonts w:ascii="Segoe UI" w:hAnsi="Segoe UI" w:cs="Segoe UI"/>
      <w:sz w:val="18"/>
      <w:szCs w:val="18"/>
      <w:lang w:val="es-ES_tradnl"/>
    </w:rPr>
  </w:style>
  <w:style w:type="character" w:styleId="Hipervnculo">
    <w:name w:val="Hyperlink"/>
    <w:basedOn w:val="Fuentedeprrafopredeter"/>
    <w:uiPriority w:val="99"/>
    <w:unhideWhenUsed/>
    <w:rsid w:val="003A3B21"/>
    <w:rPr>
      <w:color w:val="0563C1" w:themeColor="hyperlink"/>
      <w:u w:val="single"/>
    </w:rPr>
  </w:style>
  <w:style w:type="table" w:styleId="Tablaconcuadrcula">
    <w:name w:val="Table Grid"/>
    <w:basedOn w:val="Tablanormal"/>
    <w:uiPriority w:val="39"/>
    <w:rsid w:val="00F37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E6438"/>
    <w:pPr>
      <w:tabs>
        <w:tab w:val="center" w:pos="4252"/>
        <w:tab w:val="right" w:pos="8504"/>
      </w:tabs>
    </w:pPr>
    <w:rPr>
      <w:rFonts w:asciiTheme="minorHAnsi" w:eastAsiaTheme="minorHAnsi" w:hAnsiTheme="minorHAnsi" w:cstheme="minorBidi"/>
      <w:sz w:val="22"/>
      <w:szCs w:val="22"/>
      <w:lang w:val="es-ES_tradnl" w:eastAsia="en-US"/>
    </w:rPr>
  </w:style>
  <w:style w:type="character" w:customStyle="1" w:styleId="EncabezadoCar">
    <w:name w:val="Encabezado Car"/>
    <w:basedOn w:val="Fuentedeprrafopredeter"/>
    <w:link w:val="Encabezado"/>
    <w:uiPriority w:val="99"/>
    <w:rsid w:val="006E6438"/>
    <w:rPr>
      <w:lang w:val="es-ES_tradnl"/>
    </w:rPr>
  </w:style>
  <w:style w:type="paragraph" w:styleId="Piedepgina">
    <w:name w:val="footer"/>
    <w:basedOn w:val="Normal"/>
    <w:link w:val="PiedepginaCar"/>
    <w:uiPriority w:val="99"/>
    <w:unhideWhenUsed/>
    <w:rsid w:val="006E6438"/>
    <w:pPr>
      <w:tabs>
        <w:tab w:val="center" w:pos="4252"/>
        <w:tab w:val="right" w:pos="8504"/>
      </w:tabs>
    </w:pPr>
    <w:rPr>
      <w:rFonts w:asciiTheme="minorHAnsi" w:eastAsiaTheme="minorHAnsi" w:hAnsiTheme="minorHAnsi" w:cstheme="minorBidi"/>
      <w:sz w:val="22"/>
      <w:szCs w:val="22"/>
      <w:lang w:val="es-ES_tradnl" w:eastAsia="en-US"/>
    </w:rPr>
  </w:style>
  <w:style w:type="character" w:customStyle="1" w:styleId="PiedepginaCar">
    <w:name w:val="Pie de página Car"/>
    <w:basedOn w:val="Fuentedeprrafopredeter"/>
    <w:link w:val="Piedepgina"/>
    <w:uiPriority w:val="99"/>
    <w:rsid w:val="006E6438"/>
    <w:rPr>
      <w:lang w:val="es-ES_tradnl"/>
    </w:rPr>
  </w:style>
  <w:style w:type="character" w:customStyle="1" w:styleId="Ttulo1Car">
    <w:name w:val="Título 1 Car"/>
    <w:basedOn w:val="Fuentedeprrafopredeter"/>
    <w:link w:val="Ttulo1"/>
    <w:uiPriority w:val="9"/>
    <w:rsid w:val="0064710F"/>
    <w:rPr>
      <w:rFonts w:asciiTheme="majorHAnsi" w:eastAsiaTheme="majorEastAsia" w:hAnsiTheme="majorHAnsi" w:cstheme="majorBidi"/>
      <w:color w:val="2E74B5" w:themeColor="accent1" w:themeShade="BF"/>
      <w:sz w:val="32"/>
      <w:szCs w:val="32"/>
      <w:lang w:val="es-ES_tradnl"/>
    </w:rPr>
  </w:style>
  <w:style w:type="character" w:customStyle="1" w:styleId="Ttulo2Car">
    <w:name w:val="Título 2 Car"/>
    <w:basedOn w:val="Fuentedeprrafopredeter"/>
    <w:link w:val="Ttulo2"/>
    <w:uiPriority w:val="9"/>
    <w:rsid w:val="0064710F"/>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64710F"/>
    <w:rPr>
      <w:rFonts w:asciiTheme="majorHAnsi" w:eastAsiaTheme="majorEastAsia" w:hAnsiTheme="majorHAnsi" w:cstheme="majorBidi"/>
      <w:color w:val="1F4D78" w:themeColor="accent1" w:themeShade="7F"/>
      <w:sz w:val="24"/>
      <w:szCs w:val="24"/>
      <w:lang w:val="es-ES_tradnl"/>
    </w:rPr>
  </w:style>
  <w:style w:type="paragraph" w:styleId="TtuloTDC">
    <w:name w:val="TOC Heading"/>
    <w:basedOn w:val="Ttulo1"/>
    <w:next w:val="Normal"/>
    <w:uiPriority w:val="39"/>
    <w:unhideWhenUsed/>
    <w:qFormat/>
    <w:rsid w:val="00AF69FA"/>
    <w:pPr>
      <w:outlineLvl w:val="9"/>
    </w:pPr>
    <w:rPr>
      <w:lang w:val="es-MX" w:eastAsia="es-MX"/>
    </w:rPr>
  </w:style>
  <w:style w:type="paragraph" w:styleId="TDC2">
    <w:name w:val="toc 2"/>
    <w:basedOn w:val="Normal"/>
    <w:next w:val="Normal"/>
    <w:autoRedefine/>
    <w:uiPriority w:val="39"/>
    <w:unhideWhenUsed/>
    <w:rsid w:val="00AF69FA"/>
    <w:pPr>
      <w:spacing w:after="100" w:line="259" w:lineRule="auto"/>
      <w:ind w:left="220"/>
    </w:pPr>
    <w:rPr>
      <w:rFonts w:asciiTheme="minorHAnsi" w:eastAsiaTheme="minorEastAsia" w:hAnsiTheme="minorHAnsi"/>
      <w:sz w:val="22"/>
      <w:szCs w:val="22"/>
      <w:lang w:eastAsia="es-MX"/>
    </w:rPr>
  </w:style>
  <w:style w:type="paragraph" w:styleId="TDC1">
    <w:name w:val="toc 1"/>
    <w:basedOn w:val="Normal"/>
    <w:next w:val="Normal"/>
    <w:autoRedefine/>
    <w:uiPriority w:val="39"/>
    <w:unhideWhenUsed/>
    <w:rsid w:val="00AF69FA"/>
    <w:pPr>
      <w:spacing w:after="100" w:line="259" w:lineRule="auto"/>
    </w:pPr>
    <w:rPr>
      <w:rFonts w:asciiTheme="minorHAnsi" w:eastAsiaTheme="minorEastAsia" w:hAnsiTheme="minorHAnsi"/>
      <w:sz w:val="22"/>
      <w:szCs w:val="22"/>
      <w:lang w:eastAsia="es-MX"/>
    </w:rPr>
  </w:style>
  <w:style w:type="paragraph" w:styleId="TDC3">
    <w:name w:val="toc 3"/>
    <w:basedOn w:val="Normal"/>
    <w:next w:val="Normal"/>
    <w:autoRedefine/>
    <w:uiPriority w:val="39"/>
    <w:unhideWhenUsed/>
    <w:rsid w:val="00AF69FA"/>
    <w:pPr>
      <w:spacing w:after="100" w:line="259" w:lineRule="auto"/>
      <w:ind w:left="440"/>
    </w:pPr>
    <w:rPr>
      <w:rFonts w:asciiTheme="minorHAnsi" w:eastAsiaTheme="minorEastAsia" w:hAnsiTheme="minorHAnsi"/>
      <w:sz w:val="22"/>
      <w:szCs w:val="22"/>
      <w:lang w:eastAsia="es-MX"/>
    </w:rPr>
  </w:style>
  <w:style w:type="paragraph" w:styleId="TDC4">
    <w:name w:val="toc 4"/>
    <w:basedOn w:val="Normal"/>
    <w:next w:val="Normal"/>
    <w:autoRedefine/>
    <w:uiPriority w:val="39"/>
    <w:unhideWhenUsed/>
    <w:rsid w:val="00CF5DA3"/>
    <w:pPr>
      <w:spacing w:after="100" w:line="259" w:lineRule="auto"/>
      <w:ind w:left="660"/>
    </w:pPr>
    <w:rPr>
      <w:rFonts w:asciiTheme="minorHAnsi" w:eastAsiaTheme="minorEastAsia" w:hAnsiTheme="minorHAnsi" w:cstheme="minorBidi"/>
      <w:sz w:val="22"/>
      <w:szCs w:val="22"/>
      <w:lang w:eastAsia="es-MX"/>
    </w:rPr>
  </w:style>
  <w:style w:type="paragraph" w:styleId="TDC5">
    <w:name w:val="toc 5"/>
    <w:basedOn w:val="Normal"/>
    <w:next w:val="Normal"/>
    <w:autoRedefine/>
    <w:uiPriority w:val="39"/>
    <w:unhideWhenUsed/>
    <w:rsid w:val="00CF5DA3"/>
    <w:pPr>
      <w:spacing w:after="100" w:line="259" w:lineRule="auto"/>
      <w:ind w:left="880"/>
    </w:pPr>
    <w:rPr>
      <w:rFonts w:asciiTheme="minorHAnsi" w:eastAsiaTheme="minorEastAsia" w:hAnsiTheme="minorHAnsi" w:cstheme="minorBidi"/>
      <w:sz w:val="22"/>
      <w:szCs w:val="22"/>
      <w:lang w:eastAsia="es-MX"/>
    </w:rPr>
  </w:style>
  <w:style w:type="paragraph" w:styleId="TDC6">
    <w:name w:val="toc 6"/>
    <w:basedOn w:val="Normal"/>
    <w:next w:val="Normal"/>
    <w:autoRedefine/>
    <w:uiPriority w:val="39"/>
    <w:unhideWhenUsed/>
    <w:rsid w:val="00CF5DA3"/>
    <w:pPr>
      <w:spacing w:after="100" w:line="259" w:lineRule="auto"/>
      <w:ind w:left="1100"/>
    </w:pPr>
    <w:rPr>
      <w:rFonts w:asciiTheme="minorHAnsi" w:eastAsiaTheme="minorEastAsia" w:hAnsiTheme="minorHAnsi" w:cstheme="minorBidi"/>
      <w:sz w:val="22"/>
      <w:szCs w:val="22"/>
      <w:lang w:eastAsia="es-MX"/>
    </w:rPr>
  </w:style>
  <w:style w:type="paragraph" w:styleId="TDC7">
    <w:name w:val="toc 7"/>
    <w:basedOn w:val="Normal"/>
    <w:next w:val="Normal"/>
    <w:autoRedefine/>
    <w:uiPriority w:val="39"/>
    <w:unhideWhenUsed/>
    <w:rsid w:val="00CF5DA3"/>
    <w:pPr>
      <w:spacing w:after="100" w:line="259" w:lineRule="auto"/>
      <w:ind w:left="1320"/>
    </w:pPr>
    <w:rPr>
      <w:rFonts w:asciiTheme="minorHAnsi" w:eastAsiaTheme="minorEastAsia" w:hAnsiTheme="minorHAnsi" w:cstheme="minorBidi"/>
      <w:sz w:val="22"/>
      <w:szCs w:val="22"/>
      <w:lang w:eastAsia="es-MX"/>
    </w:rPr>
  </w:style>
  <w:style w:type="paragraph" w:styleId="TDC8">
    <w:name w:val="toc 8"/>
    <w:basedOn w:val="Normal"/>
    <w:next w:val="Normal"/>
    <w:autoRedefine/>
    <w:uiPriority w:val="39"/>
    <w:unhideWhenUsed/>
    <w:rsid w:val="00CF5DA3"/>
    <w:pPr>
      <w:spacing w:after="100" w:line="259" w:lineRule="auto"/>
      <w:ind w:left="1540"/>
    </w:pPr>
    <w:rPr>
      <w:rFonts w:asciiTheme="minorHAnsi" w:eastAsiaTheme="minorEastAsia" w:hAnsiTheme="minorHAnsi" w:cstheme="minorBidi"/>
      <w:sz w:val="22"/>
      <w:szCs w:val="22"/>
      <w:lang w:eastAsia="es-MX"/>
    </w:rPr>
  </w:style>
  <w:style w:type="paragraph" w:styleId="TDC9">
    <w:name w:val="toc 9"/>
    <w:basedOn w:val="Normal"/>
    <w:next w:val="Normal"/>
    <w:autoRedefine/>
    <w:uiPriority w:val="39"/>
    <w:unhideWhenUsed/>
    <w:rsid w:val="00CF5DA3"/>
    <w:pPr>
      <w:spacing w:after="100" w:line="259" w:lineRule="auto"/>
      <w:ind w:left="1760"/>
    </w:pPr>
    <w:rPr>
      <w:rFonts w:asciiTheme="minorHAnsi" w:eastAsiaTheme="minorEastAsia" w:hAnsiTheme="minorHAnsi" w:cstheme="minorBidi"/>
      <w:sz w:val="22"/>
      <w:szCs w:val="22"/>
      <w:lang w:eastAsia="es-MX"/>
    </w:rPr>
  </w:style>
  <w:style w:type="paragraph" w:styleId="Revisin">
    <w:name w:val="Revision"/>
    <w:hidden/>
    <w:uiPriority w:val="99"/>
    <w:semiHidden/>
    <w:rsid w:val="009D7771"/>
    <w:pPr>
      <w:spacing w:after="0" w:line="240" w:lineRule="auto"/>
    </w:pPr>
    <w:rPr>
      <w:lang w:val="es-ES_tradnl"/>
    </w:rPr>
  </w:style>
  <w:style w:type="character" w:styleId="Nmerodepgina">
    <w:name w:val="page number"/>
    <w:basedOn w:val="Fuentedeprrafopredeter"/>
    <w:uiPriority w:val="99"/>
    <w:semiHidden/>
    <w:unhideWhenUsed/>
    <w:rsid w:val="00661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5356">
      <w:bodyDiv w:val="1"/>
      <w:marLeft w:val="0"/>
      <w:marRight w:val="0"/>
      <w:marTop w:val="0"/>
      <w:marBottom w:val="0"/>
      <w:divBdr>
        <w:top w:val="none" w:sz="0" w:space="0" w:color="auto"/>
        <w:left w:val="none" w:sz="0" w:space="0" w:color="auto"/>
        <w:bottom w:val="none" w:sz="0" w:space="0" w:color="auto"/>
        <w:right w:val="none" w:sz="0" w:space="0" w:color="auto"/>
      </w:divBdr>
    </w:div>
    <w:div w:id="81033206">
      <w:bodyDiv w:val="1"/>
      <w:marLeft w:val="0"/>
      <w:marRight w:val="0"/>
      <w:marTop w:val="0"/>
      <w:marBottom w:val="0"/>
      <w:divBdr>
        <w:top w:val="none" w:sz="0" w:space="0" w:color="auto"/>
        <w:left w:val="none" w:sz="0" w:space="0" w:color="auto"/>
        <w:bottom w:val="none" w:sz="0" w:space="0" w:color="auto"/>
        <w:right w:val="none" w:sz="0" w:space="0" w:color="auto"/>
      </w:divBdr>
    </w:div>
    <w:div w:id="131365303">
      <w:bodyDiv w:val="1"/>
      <w:marLeft w:val="0"/>
      <w:marRight w:val="0"/>
      <w:marTop w:val="0"/>
      <w:marBottom w:val="0"/>
      <w:divBdr>
        <w:top w:val="none" w:sz="0" w:space="0" w:color="auto"/>
        <w:left w:val="none" w:sz="0" w:space="0" w:color="auto"/>
        <w:bottom w:val="none" w:sz="0" w:space="0" w:color="auto"/>
        <w:right w:val="none" w:sz="0" w:space="0" w:color="auto"/>
      </w:divBdr>
    </w:div>
    <w:div w:id="225797884">
      <w:bodyDiv w:val="1"/>
      <w:marLeft w:val="0"/>
      <w:marRight w:val="0"/>
      <w:marTop w:val="0"/>
      <w:marBottom w:val="0"/>
      <w:divBdr>
        <w:top w:val="none" w:sz="0" w:space="0" w:color="auto"/>
        <w:left w:val="none" w:sz="0" w:space="0" w:color="auto"/>
        <w:bottom w:val="none" w:sz="0" w:space="0" w:color="auto"/>
        <w:right w:val="none" w:sz="0" w:space="0" w:color="auto"/>
      </w:divBdr>
    </w:div>
    <w:div w:id="252712578">
      <w:bodyDiv w:val="1"/>
      <w:marLeft w:val="0"/>
      <w:marRight w:val="0"/>
      <w:marTop w:val="0"/>
      <w:marBottom w:val="0"/>
      <w:divBdr>
        <w:top w:val="none" w:sz="0" w:space="0" w:color="auto"/>
        <w:left w:val="none" w:sz="0" w:space="0" w:color="auto"/>
        <w:bottom w:val="none" w:sz="0" w:space="0" w:color="auto"/>
        <w:right w:val="none" w:sz="0" w:space="0" w:color="auto"/>
      </w:divBdr>
    </w:div>
    <w:div w:id="311520382">
      <w:bodyDiv w:val="1"/>
      <w:marLeft w:val="0"/>
      <w:marRight w:val="0"/>
      <w:marTop w:val="0"/>
      <w:marBottom w:val="0"/>
      <w:divBdr>
        <w:top w:val="none" w:sz="0" w:space="0" w:color="auto"/>
        <w:left w:val="none" w:sz="0" w:space="0" w:color="auto"/>
        <w:bottom w:val="none" w:sz="0" w:space="0" w:color="auto"/>
        <w:right w:val="none" w:sz="0" w:space="0" w:color="auto"/>
      </w:divBdr>
    </w:div>
    <w:div w:id="314997162">
      <w:bodyDiv w:val="1"/>
      <w:marLeft w:val="0"/>
      <w:marRight w:val="0"/>
      <w:marTop w:val="0"/>
      <w:marBottom w:val="0"/>
      <w:divBdr>
        <w:top w:val="none" w:sz="0" w:space="0" w:color="auto"/>
        <w:left w:val="none" w:sz="0" w:space="0" w:color="auto"/>
        <w:bottom w:val="none" w:sz="0" w:space="0" w:color="auto"/>
        <w:right w:val="none" w:sz="0" w:space="0" w:color="auto"/>
      </w:divBdr>
    </w:div>
    <w:div w:id="315499521">
      <w:bodyDiv w:val="1"/>
      <w:marLeft w:val="0"/>
      <w:marRight w:val="0"/>
      <w:marTop w:val="0"/>
      <w:marBottom w:val="0"/>
      <w:divBdr>
        <w:top w:val="none" w:sz="0" w:space="0" w:color="auto"/>
        <w:left w:val="none" w:sz="0" w:space="0" w:color="auto"/>
        <w:bottom w:val="none" w:sz="0" w:space="0" w:color="auto"/>
        <w:right w:val="none" w:sz="0" w:space="0" w:color="auto"/>
      </w:divBdr>
    </w:div>
    <w:div w:id="327291273">
      <w:bodyDiv w:val="1"/>
      <w:marLeft w:val="0"/>
      <w:marRight w:val="0"/>
      <w:marTop w:val="0"/>
      <w:marBottom w:val="0"/>
      <w:divBdr>
        <w:top w:val="none" w:sz="0" w:space="0" w:color="auto"/>
        <w:left w:val="none" w:sz="0" w:space="0" w:color="auto"/>
        <w:bottom w:val="none" w:sz="0" w:space="0" w:color="auto"/>
        <w:right w:val="none" w:sz="0" w:space="0" w:color="auto"/>
      </w:divBdr>
    </w:div>
    <w:div w:id="329647075">
      <w:bodyDiv w:val="1"/>
      <w:marLeft w:val="0"/>
      <w:marRight w:val="0"/>
      <w:marTop w:val="0"/>
      <w:marBottom w:val="0"/>
      <w:divBdr>
        <w:top w:val="none" w:sz="0" w:space="0" w:color="auto"/>
        <w:left w:val="none" w:sz="0" w:space="0" w:color="auto"/>
        <w:bottom w:val="none" w:sz="0" w:space="0" w:color="auto"/>
        <w:right w:val="none" w:sz="0" w:space="0" w:color="auto"/>
      </w:divBdr>
    </w:div>
    <w:div w:id="388501894">
      <w:bodyDiv w:val="1"/>
      <w:marLeft w:val="0"/>
      <w:marRight w:val="0"/>
      <w:marTop w:val="0"/>
      <w:marBottom w:val="0"/>
      <w:divBdr>
        <w:top w:val="none" w:sz="0" w:space="0" w:color="auto"/>
        <w:left w:val="none" w:sz="0" w:space="0" w:color="auto"/>
        <w:bottom w:val="none" w:sz="0" w:space="0" w:color="auto"/>
        <w:right w:val="none" w:sz="0" w:space="0" w:color="auto"/>
      </w:divBdr>
    </w:div>
    <w:div w:id="405692997">
      <w:bodyDiv w:val="1"/>
      <w:marLeft w:val="0"/>
      <w:marRight w:val="0"/>
      <w:marTop w:val="0"/>
      <w:marBottom w:val="0"/>
      <w:divBdr>
        <w:top w:val="none" w:sz="0" w:space="0" w:color="auto"/>
        <w:left w:val="none" w:sz="0" w:space="0" w:color="auto"/>
        <w:bottom w:val="none" w:sz="0" w:space="0" w:color="auto"/>
        <w:right w:val="none" w:sz="0" w:space="0" w:color="auto"/>
      </w:divBdr>
    </w:div>
    <w:div w:id="448356953">
      <w:bodyDiv w:val="1"/>
      <w:marLeft w:val="0"/>
      <w:marRight w:val="0"/>
      <w:marTop w:val="0"/>
      <w:marBottom w:val="0"/>
      <w:divBdr>
        <w:top w:val="none" w:sz="0" w:space="0" w:color="auto"/>
        <w:left w:val="none" w:sz="0" w:space="0" w:color="auto"/>
        <w:bottom w:val="none" w:sz="0" w:space="0" w:color="auto"/>
        <w:right w:val="none" w:sz="0" w:space="0" w:color="auto"/>
      </w:divBdr>
    </w:div>
    <w:div w:id="523908226">
      <w:bodyDiv w:val="1"/>
      <w:marLeft w:val="0"/>
      <w:marRight w:val="0"/>
      <w:marTop w:val="0"/>
      <w:marBottom w:val="0"/>
      <w:divBdr>
        <w:top w:val="none" w:sz="0" w:space="0" w:color="auto"/>
        <w:left w:val="none" w:sz="0" w:space="0" w:color="auto"/>
        <w:bottom w:val="none" w:sz="0" w:space="0" w:color="auto"/>
        <w:right w:val="none" w:sz="0" w:space="0" w:color="auto"/>
      </w:divBdr>
    </w:div>
    <w:div w:id="536167213">
      <w:bodyDiv w:val="1"/>
      <w:marLeft w:val="0"/>
      <w:marRight w:val="0"/>
      <w:marTop w:val="0"/>
      <w:marBottom w:val="0"/>
      <w:divBdr>
        <w:top w:val="none" w:sz="0" w:space="0" w:color="auto"/>
        <w:left w:val="none" w:sz="0" w:space="0" w:color="auto"/>
        <w:bottom w:val="none" w:sz="0" w:space="0" w:color="auto"/>
        <w:right w:val="none" w:sz="0" w:space="0" w:color="auto"/>
      </w:divBdr>
    </w:div>
    <w:div w:id="603459503">
      <w:bodyDiv w:val="1"/>
      <w:marLeft w:val="0"/>
      <w:marRight w:val="0"/>
      <w:marTop w:val="0"/>
      <w:marBottom w:val="0"/>
      <w:divBdr>
        <w:top w:val="none" w:sz="0" w:space="0" w:color="auto"/>
        <w:left w:val="none" w:sz="0" w:space="0" w:color="auto"/>
        <w:bottom w:val="none" w:sz="0" w:space="0" w:color="auto"/>
        <w:right w:val="none" w:sz="0" w:space="0" w:color="auto"/>
      </w:divBdr>
    </w:div>
    <w:div w:id="614680091">
      <w:bodyDiv w:val="1"/>
      <w:marLeft w:val="0"/>
      <w:marRight w:val="0"/>
      <w:marTop w:val="0"/>
      <w:marBottom w:val="0"/>
      <w:divBdr>
        <w:top w:val="none" w:sz="0" w:space="0" w:color="auto"/>
        <w:left w:val="none" w:sz="0" w:space="0" w:color="auto"/>
        <w:bottom w:val="none" w:sz="0" w:space="0" w:color="auto"/>
        <w:right w:val="none" w:sz="0" w:space="0" w:color="auto"/>
      </w:divBdr>
    </w:div>
    <w:div w:id="678119426">
      <w:bodyDiv w:val="1"/>
      <w:marLeft w:val="0"/>
      <w:marRight w:val="0"/>
      <w:marTop w:val="0"/>
      <w:marBottom w:val="0"/>
      <w:divBdr>
        <w:top w:val="none" w:sz="0" w:space="0" w:color="auto"/>
        <w:left w:val="none" w:sz="0" w:space="0" w:color="auto"/>
        <w:bottom w:val="none" w:sz="0" w:space="0" w:color="auto"/>
        <w:right w:val="none" w:sz="0" w:space="0" w:color="auto"/>
      </w:divBdr>
    </w:div>
    <w:div w:id="688337510">
      <w:bodyDiv w:val="1"/>
      <w:marLeft w:val="0"/>
      <w:marRight w:val="0"/>
      <w:marTop w:val="0"/>
      <w:marBottom w:val="0"/>
      <w:divBdr>
        <w:top w:val="none" w:sz="0" w:space="0" w:color="auto"/>
        <w:left w:val="none" w:sz="0" w:space="0" w:color="auto"/>
        <w:bottom w:val="none" w:sz="0" w:space="0" w:color="auto"/>
        <w:right w:val="none" w:sz="0" w:space="0" w:color="auto"/>
      </w:divBdr>
    </w:div>
    <w:div w:id="691956476">
      <w:bodyDiv w:val="1"/>
      <w:marLeft w:val="0"/>
      <w:marRight w:val="0"/>
      <w:marTop w:val="0"/>
      <w:marBottom w:val="0"/>
      <w:divBdr>
        <w:top w:val="none" w:sz="0" w:space="0" w:color="auto"/>
        <w:left w:val="none" w:sz="0" w:space="0" w:color="auto"/>
        <w:bottom w:val="none" w:sz="0" w:space="0" w:color="auto"/>
        <w:right w:val="none" w:sz="0" w:space="0" w:color="auto"/>
      </w:divBdr>
    </w:div>
    <w:div w:id="740835405">
      <w:bodyDiv w:val="1"/>
      <w:marLeft w:val="0"/>
      <w:marRight w:val="0"/>
      <w:marTop w:val="0"/>
      <w:marBottom w:val="0"/>
      <w:divBdr>
        <w:top w:val="none" w:sz="0" w:space="0" w:color="auto"/>
        <w:left w:val="none" w:sz="0" w:space="0" w:color="auto"/>
        <w:bottom w:val="none" w:sz="0" w:space="0" w:color="auto"/>
        <w:right w:val="none" w:sz="0" w:space="0" w:color="auto"/>
      </w:divBdr>
    </w:div>
    <w:div w:id="741755777">
      <w:bodyDiv w:val="1"/>
      <w:marLeft w:val="0"/>
      <w:marRight w:val="0"/>
      <w:marTop w:val="0"/>
      <w:marBottom w:val="0"/>
      <w:divBdr>
        <w:top w:val="none" w:sz="0" w:space="0" w:color="auto"/>
        <w:left w:val="none" w:sz="0" w:space="0" w:color="auto"/>
        <w:bottom w:val="none" w:sz="0" w:space="0" w:color="auto"/>
        <w:right w:val="none" w:sz="0" w:space="0" w:color="auto"/>
      </w:divBdr>
    </w:div>
    <w:div w:id="809054892">
      <w:bodyDiv w:val="1"/>
      <w:marLeft w:val="0"/>
      <w:marRight w:val="0"/>
      <w:marTop w:val="0"/>
      <w:marBottom w:val="0"/>
      <w:divBdr>
        <w:top w:val="none" w:sz="0" w:space="0" w:color="auto"/>
        <w:left w:val="none" w:sz="0" w:space="0" w:color="auto"/>
        <w:bottom w:val="none" w:sz="0" w:space="0" w:color="auto"/>
        <w:right w:val="none" w:sz="0" w:space="0" w:color="auto"/>
      </w:divBdr>
    </w:div>
    <w:div w:id="920607215">
      <w:bodyDiv w:val="1"/>
      <w:marLeft w:val="0"/>
      <w:marRight w:val="0"/>
      <w:marTop w:val="0"/>
      <w:marBottom w:val="0"/>
      <w:divBdr>
        <w:top w:val="none" w:sz="0" w:space="0" w:color="auto"/>
        <w:left w:val="none" w:sz="0" w:space="0" w:color="auto"/>
        <w:bottom w:val="none" w:sz="0" w:space="0" w:color="auto"/>
        <w:right w:val="none" w:sz="0" w:space="0" w:color="auto"/>
      </w:divBdr>
    </w:div>
    <w:div w:id="930969274">
      <w:bodyDiv w:val="1"/>
      <w:marLeft w:val="0"/>
      <w:marRight w:val="0"/>
      <w:marTop w:val="0"/>
      <w:marBottom w:val="0"/>
      <w:divBdr>
        <w:top w:val="none" w:sz="0" w:space="0" w:color="auto"/>
        <w:left w:val="none" w:sz="0" w:space="0" w:color="auto"/>
        <w:bottom w:val="none" w:sz="0" w:space="0" w:color="auto"/>
        <w:right w:val="none" w:sz="0" w:space="0" w:color="auto"/>
      </w:divBdr>
    </w:div>
    <w:div w:id="987588038">
      <w:bodyDiv w:val="1"/>
      <w:marLeft w:val="0"/>
      <w:marRight w:val="0"/>
      <w:marTop w:val="0"/>
      <w:marBottom w:val="0"/>
      <w:divBdr>
        <w:top w:val="none" w:sz="0" w:space="0" w:color="auto"/>
        <w:left w:val="none" w:sz="0" w:space="0" w:color="auto"/>
        <w:bottom w:val="none" w:sz="0" w:space="0" w:color="auto"/>
        <w:right w:val="none" w:sz="0" w:space="0" w:color="auto"/>
      </w:divBdr>
    </w:div>
    <w:div w:id="1034042892">
      <w:bodyDiv w:val="1"/>
      <w:marLeft w:val="0"/>
      <w:marRight w:val="0"/>
      <w:marTop w:val="0"/>
      <w:marBottom w:val="0"/>
      <w:divBdr>
        <w:top w:val="none" w:sz="0" w:space="0" w:color="auto"/>
        <w:left w:val="none" w:sz="0" w:space="0" w:color="auto"/>
        <w:bottom w:val="none" w:sz="0" w:space="0" w:color="auto"/>
        <w:right w:val="none" w:sz="0" w:space="0" w:color="auto"/>
      </w:divBdr>
    </w:div>
    <w:div w:id="1044675526">
      <w:bodyDiv w:val="1"/>
      <w:marLeft w:val="0"/>
      <w:marRight w:val="0"/>
      <w:marTop w:val="0"/>
      <w:marBottom w:val="0"/>
      <w:divBdr>
        <w:top w:val="none" w:sz="0" w:space="0" w:color="auto"/>
        <w:left w:val="none" w:sz="0" w:space="0" w:color="auto"/>
        <w:bottom w:val="none" w:sz="0" w:space="0" w:color="auto"/>
        <w:right w:val="none" w:sz="0" w:space="0" w:color="auto"/>
      </w:divBdr>
    </w:div>
    <w:div w:id="1113400729">
      <w:bodyDiv w:val="1"/>
      <w:marLeft w:val="0"/>
      <w:marRight w:val="0"/>
      <w:marTop w:val="0"/>
      <w:marBottom w:val="0"/>
      <w:divBdr>
        <w:top w:val="none" w:sz="0" w:space="0" w:color="auto"/>
        <w:left w:val="none" w:sz="0" w:space="0" w:color="auto"/>
        <w:bottom w:val="none" w:sz="0" w:space="0" w:color="auto"/>
        <w:right w:val="none" w:sz="0" w:space="0" w:color="auto"/>
      </w:divBdr>
    </w:div>
    <w:div w:id="1198810319">
      <w:bodyDiv w:val="1"/>
      <w:marLeft w:val="0"/>
      <w:marRight w:val="0"/>
      <w:marTop w:val="0"/>
      <w:marBottom w:val="0"/>
      <w:divBdr>
        <w:top w:val="none" w:sz="0" w:space="0" w:color="auto"/>
        <w:left w:val="none" w:sz="0" w:space="0" w:color="auto"/>
        <w:bottom w:val="none" w:sz="0" w:space="0" w:color="auto"/>
        <w:right w:val="none" w:sz="0" w:space="0" w:color="auto"/>
      </w:divBdr>
    </w:div>
    <w:div w:id="1201284644">
      <w:bodyDiv w:val="1"/>
      <w:marLeft w:val="0"/>
      <w:marRight w:val="0"/>
      <w:marTop w:val="0"/>
      <w:marBottom w:val="0"/>
      <w:divBdr>
        <w:top w:val="none" w:sz="0" w:space="0" w:color="auto"/>
        <w:left w:val="none" w:sz="0" w:space="0" w:color="auto"/>
        <w:bottom w:val="none" w:sz="0" w:space="0" w:color="auto"/>
        <w:right w:val="none" w:sz="0" w:space="0" w:color="auto"/>
      </w:divBdr>
    </w:div>
    <w:div w:id="1307592271">
      <w:bodyDiv w:val="1"/>
      <w:marLeft w:val="0"/>
      <w:marRight w:val="0"/>
      <w:marTop w:val="0"/>
      <w:marBottom w:val="0"/>
      <w:divBdr>
        <w:top w:val="none" w:sz="0" w:space="0" w:color="auto"/>
        <w:left w:val="none" w:sz="0" w:space="0" w:color="auto"/>
        <w:bottom w:val="none" w:sz="0" w:space="0" w:color="auto"/>
        <w:right w:val="none" w:sz="0" w:space="0" w:color="auto"/>
      </w:divBdr>
    </w:div>
    <w:div w:id="1433236566">
      <w:bodyDiv w:val="1"/>
      <w:marLeft w:val="0"/>
      <w:marRight w:val="0"/>
      <w:marTop w:val="0"/>
      <w:marBottom w:val="0"/>
      <w:divBdr>
        <w:top w:val="none" w:sz="0" w:space="0" w:color="auto"/>
        <w:left w:val="none" w:sz="0" w:space="0" w:color="auto"/>
        <w:bottom w:val="none" w:sz="0" w:space="0" w:color="auto"/>
        <w:right w:val="none" w:sz="0" w:space="0" w:color="auto"/>
      </w:divBdr>
    </w:div>
    <w:div w:id="1478689184">
      <w:bodyDiv w:val="1"/>
      <w:marLeft w:val="0"/>
      <w:marRight w:val="0"/>
      <w:marTop w:val="0"/>
      <w:marBottom w:val="0"/>
      <w:divBdr>
        <w:top w:val="none" w:sz="0" w:space="0" w:color="auto"/>
        <w:left w:val="none" w:sz="0" w:space="0" w:color="auto"/>
        <w:bottom w:val="none" w:sz="0" w:space="0" w:color="auto"/>
        <w:right w:val="none" w:sz="0" w:space="0" w:color="auto"/>
      </w:divBdr>
    </w:div>
    <w:div w:id="1490950021">
      <w:bodyDiv w:val="1"/>
      <w:marLeft w:val="0"/>
      <w:marRight w:val="0"/>
      <w:marTop w:val="0"/>
      <w:marBottom w:val="0"/>
      <w:divBdr>
        <w:top w:val="none" w:sz="0" w:space="0" w:color="auto"/>
        <w:left w:val="none" w:sz="0" w:space="0" w:color="auto"/>
        <w:bottom w:val="none" w:sz="0" w:space="0" w:color="auto"/>
        <w:right w:val="none" w:sz="0" w:space="0" w:color="auto"/>
      </w:divBdr>
    </w:div>
    <w:div w:id="1514613081">
      <w:bodyDiv w:val="1"/>
      <w:marLeft w:val="0"/>
      <w:marRight w:val="0"/>
      <w:marTop w:val="0"/>
      <w:marBottom w:val="0"/>
      <w:divBdr>
        <w:top w:val="none" w:sz="0" w:space="0" w:color="auto"/>
        <w:left w:val="none" w:sz="0" w:space="0" w:color="auto"/>
        <w:bottom w:val="none" w:sz="0" w:space="0" w:color="auto"/>
        <w:right w:val="none" w:sz="0" w:space="0" w:color="auto"/>
      </w:divBdr>
    </w:div>
    <w:div w:id="1592277159">
      <w:bodyDiv w:val="1"/>
      <w:marLeft w:val="0"/>
      <w:marRight w:val="0"/>
      <w:marTop w:val="0"/>
      <w:marBottom w:val="0"/>
      <w:divBdr>
        <w:top w:val="none" w:sz="0" w:space="0" w:color="auto"/>
        <w:left w:val="none" w:sz="0" w:space="0" w:color="auto"/>
        <w:bottom w:val="none" w:sz="0" w:space="0" w:color="auto"/>
        <w:right w:val="none" w:sz="0" w:space="0" w:color="auto"/>
      </w:divBdr>
    </w:div>
    <w:div w:id="1647582653">
      <w:bodyDiv w:val="1"/>
      <w:marLeft w:val="0"/>
      <w:marRight w:val="0"/>
      <w:marTop w:val="0"/>
      <w:marBottom w:val="0"/>
      <w:divBdr>
        <w:top w:val="none" w:sz="0" w:space="0" w:color="auto"/>
        <w:left w:val="none" w:sz="0" w:space="0" w:color="auto"/>
        <w:bottom w:val="none" w:sz="0" w:space="0" w:color="auto"/>
        <w:right w:val="none" w:sz="0" w:space="0" w:color="auto"/>
      </w:divBdr>
    </w:div>
    <w:div w:id="1677221853">
      <w:bodyDiv w:val="1"/>
      <w:marLeft w:val="0"/>
      <w:marRight w:val="0"/>
      <w:marTop w:val="0"/>
      <w:marBottom w:val="0"/>
      <w:divBdr>
        <w:top w:val="none" w:sz="0" w:space="0" w:color="auto"/>
        <w:left w:val="none" w:sz="0" w:space="0" w:color="auto"/>
        <w:bottom w:val="none" w:sz="0" w:space="0" w:color="auto"/>
        <w:right w:val="none" w:sz="0" w:space="0" w:color="auto"/>
      </w:divBdr>
    </w:div>
    <w:div w:id="1737512613">
      <w:bodyDiv w:val="1"/>
      <w:marLeft w:val="0"/>
      <w:marRight w:val="0"/>
      <w:marTop w:val="0"/>
      <w:marBottom w:val="0"/>
      <w:divBdr>
        <w:top w:val="none" w:sz="0" w:space="0" w:color="auto"/>
        <w:left w:val="none" w:sz="0" w:space="0" w:color="auto"/>
        <w:bottom w:val="none" w:sz="0" w:space="0" w:color="auto"/>
        <w:right w:val="none" w:sz="0" w:space="0" w:color="auto"/>
      </w:divBdr>
    </w:div>
    <w:div w:id="1828397290">
      <w:bodyDiv w:val="1"/>
      <w:marLeft w:val="0"/>
      <w:marRight w:val="0"/>
      <w:marTop w:val="0"/>
      <w:marBottom w:val="0"/>
      <w:divBdr>
        <w:top w:val="none" w:sz="0" w:space="0" w:color="auto"/>
        <w:left w:val="none" w:sz="0" w:space="0" w:color="auto"/>
        <w:bottom w:val="none" w:sz="0" w:space="0" w:color="auto"/>
        <w:right w:val="none" w:sz="0" w:space="0" w:color="auto"/>
      </w:divBdr>
    </w:div>
    <w:div w:id="1864246981">
      <w:bodyDiv w:val="1"/>
      <w:marLeft w:val="0"/>
      <w:marRight w:val="0"/>
      <w:marTop w:val="0"/>
      <w:marBottom w:val="0"/>
      <w:divBdr>
        <w:top w:val="none" w:sz="0" w:space="0" w:color="auto"/>
        <w:left w:val="none" w:sz="0" w:space="0" w:color="auto"/>
        <w:bottom w:val="none" w:sz="0" w:space="0" w:color="auto"/>
        <w:right w:val="none" w:sz="0" w:space="0" w:color="auto"/>
      </w:divBdr>
    </w:div>
    <w:div w:id="1928029767">
      <w:bodyDiv w:val="1"/>
      <w:marLeft w:val="0"/>
      <w:marRight w:val="0"/>
      <w:marTop w:val="0"/>
      <w:marBottom w:val="0"/>
      <w:divBdr>
        <w:top w:val="none" w:sz="0" w:space="0" w:color="auto"/>
        <w:left w:val="none" w:sz="0" w:space="0" w:color="auto"/>
        <w:bottom w:val="none" w:sz="0" w:space="0" w:color="auto"/>
        <w:right w:val="none" w:sz="0" w:space="0" w:color="auto"/>
      </w:divBdr>
    </w:div>
    <w:div w:id="1963077492">
      <w:bodyDiv w:val="1"/>
      <w:marLeft w:val="0"/>
      <w:marRight w:val="0"/>
      <w:marTop w:val="0"/>
      <w:marBottom w:val="0"/>
      <w:divBdr>
        <w:top w:val="none" w:sz="0" w:space="0" w:color="auto"/>
        <w:left w:val="none" w:sz="0" w:space="0" w:color="auto"/>
        <w:bottom w:val="none" w:sz="0" w:space="0" w:color="auto"/>
        <w:right w:val="none" w:sz="0" w:space="0" w:color="auto"/>
      </w:divBdr>
    </w:div>
    <w:div w:id="1976372750">
      <w:bodyDiv w:val="1"/>
      <w:marLeft w:val="0"/>
      <w:marRight w:val="0"/>
      <w:marTop w:val="0"/>
      <w:marBottom w:val="0"/>
      <w:divBdr>
        <w:top w:val="none" w:sz="0" w:space="0" w:color="auto"/>
        <w:left w:val="none" w:sz="0" w:space="0" w:color="auto"/>
        <w:bottom w:val="none" w:sz="0" w:space="0" w:color="auto"/>
        <w:right w:val="none" w:sz="0" w:space="0" w:color="auto"/>
      </w:divBdr>
    </w:div>
    <w:div w:id="2018650714">
      <w:bodyDiv w:val="1"/>
      <w:marLeft w:val="0"/>
      <w:marRight w:val="0"/>
      <w:marTop w:val="0"/>
      <w:marBottom w:val="0"/>
      <w:divBdr>
        <w:top w:val="none" w:sz="0" w:space="0" w:color="auto"/>
        <w:left w:val="none" w:sz="0" w:space="0" w:color="auto"/>
        <w:bottom w:val="none" w:sz="0" w:space="0" w:color="auto"/>
        <w:right w:val="none" w:sz="0" w:space="0" w:color="auto"/>
      </w:divBdr>
    </w:div>
    <w:div w:id="2050835329">
      <w:bodyDiv w:val="1"/>
      <w:marLeft w:val="0"/>
      <w:marRight w:val="0"/>
      <w:marTop w:val="0"/>
      <w:marBottom w:val="0"/>
      <w:divBdr>
        <w:top w:val="none" w:sz="0" w:space="0" w:color="auto"/>
        <w:left w:val="none" w:sz="0" w:space="0" w:color="auto"/>
        <w:bottom w:val="none" w:sz="0" w:space="0" w:color="auto"/>
        <w:right w:val="none" w:sz="0" w:space="0" w:color="auto"/>
      </w:divBdr>
    </w:div>
    <w:div w:id="209185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Resultados</a:t>
            </a:r>
            <a:r>
              <a:rPr lang="es-MX" baseline="0"/>
              <a:t> de la 2a evaluación vinculante por ámbito</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stacked"/>
        <c:varyColors val="0"/>
        <c:ser>
          <c:idx val="1"/>
          <c:order val="0"/>
          <c:tx>
            <c:strRef>
              <c:f>Hoja1!$C$1</c:f>
              <c:strCache>
                <c:ptCount val="1"/>
                <c:pt idx="0">
                  <c:v>Cumplimiento total (100 puntos)</c:v>
                </c:pt>
              </c:strCache>
            </c:strRef>
          </c:tx>
          <c:spPr>
            <a:solidFill>
              <a:srgbClr val="00B05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B3C5-1C45-A67C-F4189B76E526}"/>
                </c:ext>
              </c:extLst>
            </c:dLbl>
            <c:dLbl>
              <c:idx val="4"/>
              <c:delete val="1"/>
              <c:extLst>
                <c:ext xmlns:c15="http://schemas.microsoft.com/office/drawing/2012/chart" uri="{CE6537A1-D6FC-4f65-9D91-7224C49458BB}"/>
                <c:ext xmlns:c16="http://schemas.microsoft.com/office/drawing/2014/chart" uri="{C3380CC4-5D6E-409C-BE32-E72D297353CC}">
                  <c16:uniqueId val="{00000001-B3C5-1C45-A67C-F4189B76E526}"/>
                </c:ext>
              </c:extLst>
            </c:dLbl>
            <c:dLbl>
              <c:idx val="5"/>
              <c:delete val="1"/>
              <c:extLst>
                <c:ext xmlns:c15="http://schemas.microsoft.com/office/drawing/2012/chart" uri="{CE6537A1-D6FC-4f65-9D91-7224C49458BB}"/>
                <c:ext xmlns:c16="http://schemas.microsoft.com/office/drawing/2014/chart" uri="{C3380CC4-5D6E-409C-BE32-E72D297353CC}">
                  <c16:uniqueId val="{00000002-B3C5-1C45-A67C-F4189B76E5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Hoja1!$C$2:$C$8</c:f>
              <c:numCache>
                <c:formatCode>General</c:formatCode>
                <c:ptCount val="7"/>
                <c:pt idx="0">
                  <c:v>4</c:v>
                </c:pt>
                <c:pt idx="1">
                  <c:v>1</c:v>
                </c:pt>
                <c:pt idx="2">
                  <c:v>2</c:v>
                </c:pt>
                <c:pt idx="3">
                  <c:v>0</c:v>
                </c:pt>
                <c:pt idx="4">
                  <c:v>0</c:v>
                </c:pt>
                <c:pt idx="5">
                  <c:v>0</c:v>
                </c:pt>
                <c:pt idx="6">
                  <c:v>7</c:v>
                </c:pt>
              </c:numCache>
            </c:numRef>
          </c:val>
          <c:extLst>
            <c:ext xmlns:c16="http://schemas.microsoft.com/office/drawing/2014/chart" uri="{C3380CC4-5D6E-409C-BE32-E72D297353CC}">
              <c16:uniqueId val="{00000003-B3C5-1C45-A67C-F4189B76E526}"/>
            </c:ext>
          </c:extLst>
        </c:ser>
        <c:ser>
          <c:idx val="2"/>
          <c:order val="1"/>
          <c:tx>
            <c:strRef>
              <c:f>Hoja1!$D$1</c:f>
              <c:strCache>
                <c:ptCount val="1"/>
                <c:pt idx="0">
                  <c:v>Cumplimiento parcial (60 a 99.99 puntos)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Hoja1!$D$2:$D$8</c:f>
              <c:numCache>
                <c:formatCode>General</c:formatCode>
                <c:ptCount val="7"/>
                <c:pt idx="0">
                  <c:v>4</c:v>
                </c:pt>
                <c:pt idx="1">
                  <c:v>4</c:v>
                </c:pt>
                <c:pt idx="2">
                  <c:v>14</c:v>
                </c:pt>
                <c:pt idx="3">
                  <c:v>1</c:v>
                </c:pt>
                <c:pt idx="4">
                  <c:v>1</c:v>
                </c:pt>
                <c:pt idx="5">
                  <c:v>1</c:v>
                </c:pt>
                <c:pt idx="6">
                  <c:v>25</c:v>
                </c:pt>
              </c:numCache>
            </c:numRef>
          </c:val>
          <c:extLst>
            <c:ext xmlns:c16="http://schemas.microsoft.com/office/drawing/2014/chart" uri="{C3380CC4-5D6E-409C-BE32-E72D297353CC}">
              <c16:uniqueId val="{00000004-B3C5-1C45-A67C-F4189B76E526}"/>
            </c:ext>
          </c:extLst>
        </c:ser>
        <c:ser>
          <c:idx val="3"/>
          <c:order val="2"/>
          <c:tx>
            <c:strRef>
              <c:f>Hoja1!$E$1</c:f>
              <c:strCache>
                <c:ptCount val="1"/>
                <c:pt idx="0">
                  <c:v>Incumplimiento parcial (1 a 59.99 puntos)</c:v>
                </c:pt>
              </c:strCache>
            </c:strRef>
          </c:tx>
          <c:spPr>
            <a:solidFill>
              <a:schemeClr val="accent4"/>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C5-1C45-A67C-F4189B76E526}"/>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C5-1C45-A67C-F4189B76E5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Hoja1!$E$2:$E$8</c:f>
              <c:numCache>
                <c:formatCode>General</c:formatCode>
                <c:ptCount val="7"/>
                <c:pt idx="0">
                  <c:v>0</c:v>
                </c:pt>
                <c:pt idx="1">
                  <c:v>3</c:v>
                </c:pt>
                <c:pt idx="2">
                  <c:v>0</c:v>
                </c:pt>
                <c:pt idx="3">
                  <c:v>0</c:v>
                </c:pt>
                <c:pt idx="4">
                  <c:v>0</c:v>
                </c:pt>
                <c:pt idx="5">
                  <c:v>0</c:v>
                </c:pt>
                <c:pt idx="6">
                  <c:v>3</c:v>
                </c:pt>
              </c:numCache>
            </c:numRef>
          </c:val>
          <c:extLst>
            <c:ext xmlns:c16="http://schemas.microsoft.com/office/drawing/2014/chart" uri="{C3380CC4-5D6E-409C-BE32-E72D297353CC}">
              <c16:uniqueId val="{00000007-B3C5-1C45-A67C-F4189B76E526}"/>
            </c:ext>
          </c:extLst>
        </c:ser>
        <c:ser>
          <c:idx val="4"/>
          <c:order val="3"/>
          <c:tx>
            <c:strRef>
              <c:f>Hoja1!$F$1</c:f>
              <c:strCache>
                <c:ptCount val="1"/>
                <c:pt idx="0">
                  <c:v>Incumplimiento total (0 puntos) </c:v>
                </c:pt>
              </c:strCache>
            </c:strRef>
          </c:tx>
          <c:spPr>
            <a:solidFill>
              <a:srgbClr val="FF0000"/>
            </a:solidFill>
            <a:ln>
              <a:noFill/>
            </a:ln>
            <a:effectLst/>
          </c:spPr>
          <c:invertIfNegative val="0"/>
          <c:cat>
            <c:strRef>
              <c:f>Hoja1!$A$2:$A$8</c:f>
              <c:strCache>
                <c:ptCount val="7"/>
                <c:pt idx="0">
                  <c:v>Administración Pública Centralizada.</c:v>
                </c:pt>
                <c:pt idx="1">
                  <c:v>Órganos Desconcentrados, fondos y fideicomisos</c:v>
                </c:pt>
                <c:pt idx="2">
                  <c:v>Alcaldías</c:v>
                </c:pt>
                <c:pt idx="3">
                  <c:v>Poder Legislativo</c:v>
                </c:pt>
                <c:pt idx="4">
                  <c:v>Órgano Autónomo </c:v>
                </c:pt>
                <c:pt idx="5">
                  <c:v>Sindicato </c:v>
                </c:pt>
                <c:pt idx="6">
                  <c:v>Total </c:v>
                </c:pt>
              </c:strCache>
            </c:strRef>
          </c:cat>
          <c:val>
            <c:numRef>
              <c:f>Hoja1!$F$2:$F$8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8-B3C5-1C45-A67C-F4189B76E526}"/>
            </c:ext>
          </c:extLst>
        </c:ser>
        <c:dLbls>
          <c:showLegendKey val="0"/>
          <c:showVal val="0"/>
          <c:showCatName val="0"/>
          <c:showSerName val="0"/>
          <c:showPercent val="0"/>
          <c:showBubbleSize val="0"/>
        </c:dLbls>
        <c:gapWidth val="150"/>
        <c:overlap val="100"/>
        <c:axId val="493121696"/>
        <c:axId val="493122480"/>
      </c:barChart>
      <c:catAx>
        <c:axId val="493121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93122480"/>
        <c:crosses val="autoZero"/>
        <c:auto val="1"/>
        <c:lblAlgn val="ctr"/>
        <c:lblOffset val="100"/>
        <c:noMultiLvlLbl val="0"/>
      </c:catAx>
      <c:valAx>
        <c:axId val="49312248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9312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13890-0C50-FB41-98CE-E35AFBB4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81</Pages>
  <Words>23784</Words>
  <Characters>130813</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 Antonio Trapero Maldonado</dc:creator>
  <cp:lastModifiedBy>Aldo Antonio Trapero Maldonado</cp:lastModifiedBy>
  <cp:revision>14</cp:revision>
  <cp:lastPrinted>2019-10-24T19:26:00Z</cp:lastPrinted>
  <dcterms:created xsi:type="dcterms:W3CDTF">2019-10-24T18:54:00Z</dcterms:created>
  <dcterms:modified xsi:type="dcterms:W3CDTF">2019-10-30T01:23:00Z</dcterms:modified>
</cp:coreProperties>
</file>